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60" w:after="60"/>
        <w:jc w:val="end"/>
        <w:rPr>
          <w:rFonts w:eastAsia="Times New Roman" w:cs="Calibri" w:cstheme="minorHAnsi"/>
          <w:lang w:eastAsia="pl-PL"/>
        </w:rPr>
      </w:pPr>
      <w:bookmarkStart w:id="0" w:name="_Hlk208906628"/>
      <w:r>
        <w:rPr>
          <w:rFonts w:eastAsia="Times New Roman" w:cs="Calibri" w:cstheme="minorHAnsi"/>
          <w:u w:val="single"/>
          <w:lang w:eastAsia="pl-PL"/>
        </w:rPr>
        <w:t>Załącznik nr 1</w:t>
      </w:r>
      <w:r>
        <w:rPr>
          <w:rFonts w:eastAsia="Times New Roman" w:cs="Calibri" w:cstheme="minorHAnsi"/>
          <w:lang w:eastAsia="pl-PL"/>
        </w:rPr>
        <w:t xml:space="preserve"> do Umowy</w:t>
        <w:br/>
        <w:t>– Opis usługi ochrony przed Atakami DDoS</w:t>
      </w:r>
      <w:bookmarkEnd w:id="0"/>
    </w:p>
    <w:p>
      <w:pPr>
        <w:pStyle w:val="Normal"/>
        <w:spacing w:lineRule="auto" w:line="259" w:before="60" w:after="60"/>
        <w:jc w:val="center"/>
        <w:rPr>
          <w:rFonts w:eastAsia="Times New Roman" w:cs="Calibri" w:cstheme="minorHAnsi"/>
          <w:lang w:eastAsia="pl-PL"/>
        </w:rPr>
      </w:pPr>
      <w:r>
        <w:rPr>
          <w:rFonts w:eastAsia="Times New Roman" w:cs="Calibri" w:cstheme="minorHAnsi"/>
          <w:lang w:eastAsia="pl-PL"/>
        </w:rPr>
      </w:r>
    </w:p>
    <w:p>
      <w:pPr>
        <w:pStyle w:val="Heading1"/>
        <w:spacing w:before="280" w:after="280"/>
        <w:rPr>
          <w:rFonts w:ascii="Calibri" w:hAnsi="Calibri" w:cs="Calibri" w:asciiTheme="minorHAnsi" w:cstheme="minorHAnsi" w:hAnsiTheme="minorHAnsi"/>
          <w:b w:val="false"/>
          <w:bCs w:val="false"/>
          <w:sz w:val="22"/>
          <w:szCs w:val="22"/>
        </w:rPr>
      </w:pPr>
      <w:r>
        <w:rPr>
          <w:rFonts w:cs="Calibri" w:ascii="Calibri" w:hAnsi="Calibri" w:asciiTheme="minorHAnsi" w:cstheme="minorHAnsi" w:hAnsiTheme="minorHAnsi"/>
          <w:b w:val="false"/>
          <w:bCs w:val="false"/>
          <w:sz w:val="22"/>
          <w:szCs w:val="22"/>
        </w:rPr>
        <w:t>Opis usługi ochrony przed Atakami DDoS</w:t>
      </w:r>
    </w:p>
    <w:p>
      <w:pPr>
        <w:pStyle w:val="Normal"/>
        <w:spacing w:lineRule="auto" w:line="259" w:before="60" w:after="60"/>
        <w:jc w:val="both"/>
        <w:rPr>
          <w:rFonts w:eastAsia="Times New Roman" w:cs="Calibri" w:cstheme="minorHAnsi"/>
          <w:lang w:eastAsia="pl-PL"/>
        </w:rPr>
      </w:pPr>
      <w:r>
        <w:rPr>
          <w:rFonts w:eastAsia="Times New Roman" w:cs="Calibri" w:cstheme="minorHAnsi"/>
          <w:lang w:eastAsia="pl-PL"/>
        </w:rPr>
      </w:r>
    </w:p>
    <w:p>
      <w:pPr>
        <w:pStyle w:val="Normal"/>
        <w:numPr>
          <w:ilvl w:val="0"/>
          <w:numId w:val="2"/>
        </w:numPr>
        <w:spacing w:lineRule="auto" w:line="259" w:before="60" w:after="60"/>
        <w:ind w:hanging="360" w:start="357"/>
        <w:jc w:val="both"/>
        <w:rPr>
          <w:rFonts w:cs="Calibri" w:cstheme="minorHAnsi"/>
        </w:rPr>
      </w:pPr>
      <w:r>
        <w:rPr>
          <w:rFonts w:cs="Calibri" w:cstheme="minorHAnsi"/>
          <w:b/>
        </w:rPr>
        <w:t>Łącze dostępu do Internetu</w:t>
      </w:r>
    </w:p>
    <w:p>
      <w:pPr>
        <w:pStyle w:val="Normal"/>
        <w:numPr>
          <w:ilvl w:val="1"/>
          <w:numId w:val="2"/>
        </w:numPr>
        <w:spacing w:lineRule="auto" w:line="259" w:before="60" w:after="60"/>
        <w:ind w:hanging="360" w:start="720"/>
        <w:jc w:val="both"/>
        <w:rPr>
          <w:rFonts w:cs="Calibri" w:cstheme="minorHAnsi"/>
        </w:rPr>
      </w:pPr>
      <w:r>
        <w:rPr>
          <w:rFonts w:cs="Calibri" w:cstheme="minorHAnsi"/>
        </w:rPr>
        <w:t>Zamawiający wymaga zapewnienia usługi ochrony przed Atakami DDoS, realizowanej jako usługi powiązanej z symetrycznym łączem dostępu do Internetu, dostarczanym w ramach zamówienia dla całej udostępnionej przepustowości łącza. Usługa będzie świadczona dla całej adresacji IP Zamawiającego na dostarczanym łączu internetowym;</w:t>
      </w:r>
    </w:p>
    <w:p>
      <w:pPr>
        <w:pStyle w:val="Normal"/>
        <w:numPr>
          <w:ilvl w:val="1"/>
          <w:numId w:val="2"/>
        </w:numPr>
        <w:spacing w:lineRule="auto" w:line="259" w:before="60" w:after="60"/>
        <w:ind w:hanging="360" w:start="720"/>
        <w:jc w:val="both"/>
        <w:rPr>
          <w:rFonts w:cs="Calibri" w:cstheme="minorHAnsi"/>
        </w:rPr>
      </w:pPr>
      <w:r>
        <w:rPr>
          <w:rFonts w:cs="Calibri" w:cstheme="minorHAnsi"/>
        </w:rPr>
        <w:t xml:space="preserve">W ramach realizacji usługi ochrony przed Atakami DDoS Zamawiający wymaga zapewnienia co najmniej: </w:t>
      </w:r>
    </w:p>
    <w:p>
      <w:pPr>
        <w:pStyle w:val="Normal"/>
        <w:numPr>
          <w:ilvl w:val="2"/>
          <w:numId w:val="2"/>
        </w:numPr>
        <w:spacing w:lineRule="auto" w:line="259" w:before="60" w:after="60"/>
        <w:ind w:hanging="357" w:start="1071"/>
        <w:jc w:val="both"/>
        <w:rPr>
          <w:rFonts w:cs="Calibri" w:cstheme="minorHAnsi"/>
        </w:rPr>
      </w:pPr>
      <w:r>
        <w:rPr>
          <w:rFonts w:cs="Calibri" w:cstheme="minorHAnsi"/>
        </w:rPr>
        <w:t>analizy ruchu w celu identyfikacji typu i natury Ataku;</w:t>
      </w:r>
    </w:p>
    <w:p>
      <w:pPr>
        <w:pStyle w:val="Normal"/>
        <w:numPr>
          <w:ilvl w:val="2"/>
          <w:numId w:val="2"/>
        </w:numPr>
        <w:spacing w:lineRule="auto" w:line="259" w:before="60" w:after="60"/>
        <w:ind w:hanging="357" w:start="1071"/>
        <w:jc w:val="both"/>
        <w:rPr>
          <w:rFonts w:cs="Calibri" w:cstheme="minorHAnsi"/>
        </w:rPr>
      </w:pPr>
      <w:r>
        <w:rPr>
          <w:rFonts w:cs="Calibri" w:cstheme="minorHAnsi"/>
        </w:rPr>
        <w:t>powiadamiania Zamawiającego o podejrzeniu wystąpienia Ataku;</w:t>
      </w:r>
    </w:p>
    <w:p>
      <w:pPr>
        <w:pStyle w:val="Normal"/>
        <w:numPr>
          <w:ilvl w:val="2"/>
          <w:numId w:val="2"/>
        </w:numPr>
        <w:spacing w:lineRule="auto" w:line="259" w:before="60" w:after="60"/>
        <w:ind w:hanging="357" w:start="1071"/>
        <w:jc w:val="both"/>
        <w:rPr>
          <w:rFonts w:cs="Calibri" w:cstheme="minorHAnsi"/>
        </w:rPr>
      </w:pPr>
      <w:r>
        <w:rPr>
          <w:rFonts w:cs="Calibri" w:cstheme="minorHAnsi"/>
        </w:rPr>
        <w:t>rozpoczęcia usuwania Ataku w porozumieniu z Zamawiającym (możliwe jest automatyczne uruchamianie obrony dla alarmów o wysokim poziomie zagrożenia), d) modyfikacji zestawu użytych mechanizmów przeciwdziałania tak, by uzyskać maksymalny poziom filtracji ruchu niepożądanego przy minimalnym wpływie na ruch prawidłowy;</w:t>
      </w:r>
    </w:p>
    <w:p>
      <w:pPr>
        <w:pStyle w:val="Normal"/>
        <w:numPr>
          <w:ilvl w:val="2"/>
          <w:numId w:val="2"/>
        </w:numPr>
        <w:spacing w:lineRule="auto" w:line="259" w:before="60" w:after="60"/>
        <w:ind w:hanging="357" w:start="1071"/>
        <w:jc w:val="both"/>
        <w:rPr>
          <w:rFonts w:cs="Calibri" w:cstheme="minorHAnsi"/>
        </w:rPr>
      </w:pPr>
      <w:r>
        <w:rPr>
          <w:rFonts w:cs="Calibri" w:cstheme="minorHAnsi"/>
        </w:rPr>
        <w:t>klasyfikacji alarmów typu DDoS jako:</w:t>
      </w:r>
    </w:p>
    <w:p>
      <w:pPr>
        <w:pStyle w:val="Normal"/>
        <w:numPr>
          <w:ilvl w:val="3"/>
          <w:numId w:val="2"/>
        </w:numPr>
        <w:spacing w:lineRule="auto" w:line="259" w:before="60" w:after="60"/>
        <w:ind w:hanging="360" w:start="1418"/>
        <w:jc w:val="both"/>
        <w:rPr>
          <w:rFonts w:cs="Calibri" w:cstheme="minorHAnsi"/>
        </w:rPr>
      </w:pPr>
      <w:r>
        <w:rPr>
          <w:rFonts w:cs="Calibri" w:cstheme="minorHAnsi"/>
        </w:rPr>
        <w:t>zweryfikowany Atak;</w:t>
      </w:r>
    </w:p>
    <w:p>
      <w:pPr>
        <w:pStyle w:val="Normal"/>
        <w:numPr>
          <w:ilvl w:val="3"/>
          <w:numId w:val="2"/>
        </w:numPr>
        <w:spacing w:lineRule="auto" w:line="259" w:before="60" w:after="60"/>
        <w:ind w:hanging="360" w:start="1418"/>
        <w:jc w:val="both"/>
        <w:rPr>
          <w:rFonts w:cs="Calibri" w:cstheme="minorHAnsi"/>
        </w:rPr>
      </w:pPr>
      <w:r>
        <w:rPr>
          <w:rFonts w:cs="Calibri" w:cstheme="minorHAnsi"/>
        </w:rPr>
        <w:t>fałszywy alarm;</w:t>
      </w:r>
    </w:p>
    <w:p>
      <w:pPr>
        <w:pStyle w:val="Normal"/>
        <w:numPr>
          <w:ilvl w:val="3"/>
          <w:numId w:val="2"/>
        </w:numPr>
        <w:spacing w:lineRule="auto" w:line="259" w:before="60" w:after="60"/>
        <w:ind w:hanging="360" w:start="1418"/>
        <w:jc w:val="both"/>
        <w:rPr>
          <w:rFonts w:cs="Calibri" w:cstheme="minorHAnsi"/>
        </w:rPr>
      </w:pPr>
      <w:r>
        <w:rPr>
          <w:rFonts w:cs="Calibri" w:cstheme="minorHAnsi"/>
        </w:rPr>
        <w:t>nagły ruch – znaczący wzrost ruchu, spowodowany inną przyczyną niż Atak na daną usługę Zamawiającego.</w:t>
      </w:r>
    </w:p>
    <w:p>
      <w:pPr>
        <w:pStyle w:val="Normal"/>
        <w:numPr>
          <w:ilvl w:val="0"/>
          <w:numId w:val="2"/>
        </w:numPr>
        <w:spacing w:lineRule="auto" w:line="259" w:before="60" w:after="60"/>
        <w:ind w:hanging="360" w:start="357"/>
        <w:jc w:val="both"/>
        <w:rPr>
          <w:rFonts w:cs="Calibri" w:cstheme="minorHAnsi"/>
          <w:b/>
        </w:rPr>
      </w:pPr>
      <w:r>
        <w:rPr>
          <w:rFonts w:cs="Calibri" w:cstheme="minorHAnsi"/>
          <w:b/>
        </w:rPr>
        <w:t>Wykrywanie zagrożeń</w:t>
      </w:r>
    </w:p>
    <w:p>
      <w:pPr>
        <w:pStyle w:val="Normal"/>
        <w:numPr>
          <w:ilvl w:val="1"/>
          <w:numId w:val="2"/>
        </w:numPr>
        <w:spacing w:lineRule="auto" w:line="259" w:before="60" w:after="60"/>
        <w:ind w:hanging="360" w:start="720"/>
        <w:jc w:val="both"/>
        <w:rPr>
          <w:rFonts w:cs="Calibri" w:cstheme="minorHAnsi"/>
        </w:rPr>
      </w:pPr>
      <w:r>
        <w:rPr>
          <w:rFonts w:cs="Calibri" w:cstheme="minorHAnsi"/>
        </w:rPr>
        <w:t xml:space="preserve">Zamawiający wymaga zapewnienia efektywnej identyfikacji potencjalnych Ataków DDoS </w:t>
        <w:br/>
        <w:t>z wykorzystaniem co najmniej poniższych mechanizmów detekcji:</w:t>
      </w:r>
    </w:p>
    <w:p>
      <w:pPr>
        <w:pStyle w:val="Normal"/>
        <w:numPr>
          <w:ilvl w:val="2"/>
          <w:numId w:val="2"/>
        </w:numPr>
        <w:spacing w:lineRule="auto" w:line="259" w:before="60" w:after="60"/>
        <w:ind w:hanging="357" w:start="1071"/>
        <w:jc w:val="both"/>
        <w:rPr>
          <w:rFonts w:cs="Calibri" w:cstheme="minorHAnsi"/>
        </w:rPr>
      </w:pPr>
      <w:r>
        <w:rPr>
          <w:rFonts w:cs="Calibri" w:cstheme="minorHAnsi"/>
        </w:rPr>
        <w:t>sygnatury;</w:t>
      </w:r>
    </w:p>
    <w:p>
      <w:pPr>
        <w:pStyle w:val="Normal"/>
        <w:numPr>
          <w:ilvl w:val="2"/>
          <w:numId w:val="2"/>
        </w:numPr>
        <w:spacing w:lineRule="auto" w:line="259" w:before="60" w:after="60"/>
        <w:ind w:hanging="357" w:start="1071"/>
        <w:jc w:val="both"/>
        <w:rPr>
          <w:rFonts w:cs="Calibri" w:cstheme="minorHAnsi"/>
        </w:rPr>
      </w:pPr>
      <w:r>
        <w:rPr>
          <w:rFonts w:cs="Calibri" w:cstheme="minorHAnsi"/>
        </w:rPr>
        <w:t>przekroczenie progów dla określonych typów pakietów i protokołów;</w:t>
      </w:r>
    </w:p>
    <w:p>
      <w:pPr>
        <w:pStyle w:val="Normal"/>
        <w:numPr>
          <w:ilvl w:val="2"/>
          <w:numId w:val="2"/>
        </w:numPr>
        <w:spacing w:lineRule="auto" w:line="259" w:before="60" w:after="60"/>
        <w:ind w:hanging="357" w:start="1071"/>
        <w:jc w:val="both"/>
        <w:rPr>
          <w:rFonts w:cs="Calibri" w:cstheme="minorHAnsi"/>
        </w:rPr>
      </w:pPr>
      <w:r>
        <w:rPr>
          <w:rFonts w:cs="Calibri" w:cstheme="minorHAnsi"/>
        </w:rPr>
        <w:t>oparte na analizie profilu ruchu Zamawiającego wykrywanie nieoczekiwanych zmian ruchu w odniesieniu do tego profilu;</w:t>
      </w:r>
    </w:p>
    <w:p>
      <w:pPr>
        <w:pStyle w:val="Normal"/>
        <w:numPr>
          <w:ilvl w:val="2"/>
          <w:numId w:val="2"/>
        </w:numPr>
        <w:spacing w:lineRule="auto" w:line="259" w:before="60" w:after="60"/>
        <w:ind w:hanging="357" w:start="1071"/>
        <w:jc w:val="both"/>
        <w:rPr>
          <w:rFonts w:cs="Calibri" w:cstheme="minorHAnsi"/>
        </w:rPr>
      </w:pPr>
      <w:r>
        <w:rPr>
          <w:rFonts w:cs="Calibri" w:cstheme="minorHAnsi"/>
        </w:rPr>
        <w:t>Zamawiający dopuszcza wykrywanie ataków warstw wyższych L5-L7 (HTTP GET/POST Flood, SIP Request Flood, SSL Negotiation) na podstawie aproksymacji względem ruchu w L4 pod warunkiem spełnienia pozostałych wymagań określonych w załączniku nr 1 do umowy;</w:t>
      </w:r>
    </w:p>
    <w:p>
      <w:pPr>
        <w:pStyle w:val="Normal"/>
        <w:numPr>
          <w:ilvl w:val="1"/>
          <w:numId w:val="2"/>
        </w:numPr>
        <w:spacing w:lineRule="auto" w:line="259" w:before="60" w:after="60"/>
        <w:ind w:hanging="360" w:start="720"/>
        <w:jc w:val="both"/>
        <w:rPr>
          <w:rFonts w:cs="Calibri" w:cstheme="minorHAnsi"/>
        </w:rPr>
      </w:pPr>
      <w:r>
        <w:rPr>
          <w:rFonts w:cs="Calibri" w:cstheme="minorHAnsi"/>
        </w:rPr>
        <w:t xml:space="preserve">Usługa ma monitorować ruch do i od chronionej podsieci w czasie rzeczywistym, w tym </w:t>
        <w:br/>
        <w:t>w odniesieniu do poszczególnych usług Zamawiającego. Lista usług Zamawiającego realizowanych na udostępnionym łączu, zgłoszonych przez Zamawiającego w terminie uruchomienia łącza i ochrony przed Atakami DDoS, jest listą otwartą i może się zmieniać z dnia na dzień w okresie realizacji Umowy, w zależności od uruchamianych / kasowanych usług Zamawiającego;</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ma zapewniać wykrywanie anomalii polegających na przekroczeniu wartości uważanych za normalne w ruchu internetowym, w szczególności pakietów TCP SYN flood, UDP flood (w tym DNS reflection), HTTP GET flood, HTTP POST flood, ICMP flood, IGMP flood, invalid packets, IP fragments, IP NULL, DNS flood, SIP request flood, SSL negotiation;</w:t>
      </w:r>
    </w:p>
    <w:p>
      <w:pPr>
        <w:pStyle w:val="Normal"/>
        <w:numPr>
          <w:ilvl w:val="1"/>
          <w:numId w:val="2"/>
        </w:numPr>
        <w:spacing w:lineRule="auto" w:line="259" w:before="60" w:after="60"/>
        <w:ind w:hanging="360" w:start="720"/>
        <w:jc w:val="both"/>
        <w:rPr>
          <w:rFonts w:cs="Calibri" w:cstheme="minorHAnsi"/>
        </w:rPr>
      </w:pPr>
      <w:r>
        <w:rPr>
          <w:rFonts w:cs="Calibri" w:cstheme="minorHAnsi"/>
        </w:rPr>
        <w:t xml:space="preserve">System realizujący usługę na podstawie danych historycznych ma wyznaczać oczekiwaną wartość ruchu do i od chronionej podsieci o danej porze dnia w danym dniu tygodnia, </w:t>
        <w:br/>
        <w:t>w odniesieniu do poszczególnych usług Zamawiającego;</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zapewnia wykrywanie anomalii polegających na znaczącym przekroczeniu wolumenu ruchu oraz wykrywanie potencjalnych Ataków w warstwie aplikacyjnej dla poszczególnych usług Zamawiającego w stosunku do wcześniej wyznaczonych wartości oczekiwanych ruchu.</w:t>
      </w:r>
    </w:p>
    <w:p>
      <w:pPr>
        <w:pStyle w:val="Normal"/>
        <w:numPr>
          <w:ilvl w:val="0"/>
          <w:numId w:val="2"/>
        </w:numPr>
        <w:spacing w:lineRule="auto" w:line="259" w:before="60" w:after="60"/>
        <w:ind w:hanging="360" w:start="357"/>
        <w:jc w:val="both"/>
        <w:rPr>
          <w:rFonts w:cs="Calibri" w:cstheme="minorHAnsi"/>
          <w:b/>
        </w:rPr>
      </w:pPr>
      <w:r>
        <w:rPr>
          <w:rFonts w:cs="Calibri" w:cstheme="minorHAnsi"/>
          <w:b/>
        </w:rPr>
        <w:t>Mitygacja – oczyszczanie ruchu</w:t>
      </w:r>
    </w:p>
    <w:p>
      <w:pPr>
        <w:pStyle w:val="Normal"/>
        <w:numPr>
          <w:ilvl w:val="1"/>
          <w:numId w:val="2"/>
        </w:numPr>
        <w:spacing w:lineRule="auto" w:line="259" w:before="60" w:after="60"/>
        <w:ind w:hanging="360" w:start="720"/>
        <w:jc w:val="both"/>
        <w:rPr>
          <w:rFonts w:cs="Calibri" w:cstheme="minorHAnsi"/>
        </w:rPr>
      </w:pPr>
      <w:r>
        <w:rPr>
          <w:rFonts w:cs="Calibri" w:cstheme="minorHAnsi"/>
        </w:rPr>
        <w:t>Zamawiający wymaga zapewnienia usługi ochrony przed Atakami DDoS, polegającej na usuwaniu Ataku przy możliwie jak najmniejszym wpływie na ruch uprawniony. Efektywne działanie musi stanowić trzy procedury:</w:t>
      </w:r>
    </w:p>
    <w:p>
      <w:pPr>
        <w:pStyle w:val="Normal"/>
        <w:numPr>
          <w:ilvl w:val="2"/>
          <w:numId w:val="2"/>
        </w:numPr>
        <w:spacing w:lineRule="auto" w:line="259" w:before="60" w:after="60"/>
        <w:ind w:hanging="357" w:start="1071"/>
        <w:jc w:val="both"/>
        <w:rPr>
          <w:rFonts w:cs="Calibri" w:cstheme="minorHAnsi"/>
        </w:rPr>
      </w:pPr>
      <w:r>
        <w:rPr>
          <w:rFonts w:cs="Calibri" w:cstheme="minorHAnsi"/>
        </w:rPr>
        <w:t>procedura uruchamiana w przypadku podejrzenia wystąpienia Ataku: ruch przekierowany zostanie do dedykowanych do tego celu zasobów wewnętrznych Wykonawcy;</w:t>
      </w:r>
    </w:p>
    <w:p>
      <w:pPr>
        <w:pStyle w:val="Normal"/>
        <w:numPr>
          <w:ilvl w:val="2"/>
          <w:numId w:val="2"/>
        </w:numPr>
        <w:spacing w:lineRule="auto" w:line="259" w:before="60" w:after="60"/>
        <w:ind w:hanging="357" w:start="1071"/>
        <w:jc w:val="both"/>
        <w:rPr>
          <w:rFonts w:cs="Calibri" w:cstheme="minorHAnsi"/>
        </w:rPr>
      </w:pPr>
      <w:r>
        <w:rPr>
          <w:rFonts w:cs="Calibri" w:cstheme="minorHAnsi"/>
        </w:rPr>
        <w:t>procedura filtrowania, oparta o wielowarstwową analizę ruchu i mechanizmy przeciwdziałania;</w:t>
      </w:r>
    </w:p>
    <w:p>
      <w:pPr>
        <w:pStyle w:val="Normal"/>
        <w:numPr>
          <w:ilvl w:val="2"/>
          <w:numId w:val="2"/>
        </w:numPr>
        <w:spacing w:lineRule="auto" w:line="259" w:before="60" w:after="60"/>
        <w:ind w:hanging="357" w:start="1071"/>
        <w:jc w:val="both"/>
        <w:rPr>
          <w:rFonts w:cs="Calibri" w:cstheme="minorHAnsi"/>
        </w:rPr>
      </w:pPr>
      <w:r>
        <w:rPr>
          <w:rFonts w:cs="Calibri" w:cstheme="minorHAnsi"/>
        </w:rPr>
        <w:t>procedura oparta o kierowanie odfiltrowanego ruchu z powrotem do Zamawiającego;</w:t>
      </w:r>
    </w:p>
    <w:p>
      <w:pPr>
        <w:pStyle w:val="Normal"/>
        <w:numPr>
          <w:ilvl w:val="1"/>
          <w:numId w:val="2"/>
        </w:numPr>
        <w:spacing w:lineRule="auto" w:line="259" w:before="60" w:after="60"/>
        <w:ind w:hanging="360" w:start="720"/>
        <w:jc w:val="both"/>
        <w:rPr>
          <w:rFonts w:cs="Calibri" w:cstheme="minorHAnsi"/>
        </w:rPr>
      </w:pPr>
      <w:r>
        <w:rPr>
          <w:rFonts w:cs="Calibri" w:cstheme="minorHAnsi"/>
        </w:rPr>
        <w:t>Zamawiający wymaga ochrony co najmniej przed następującymi typami Ataków:</w:t>
      </w:r>
    </w:p>
    <w:p>
      <w:pPr>
        <w:pStyle w:val="Normal"/>
        <w:spacing w:lineRule="auto" w:line="259" w:before="60" w:after="60"/>
        <w:ind w:start="1077"/>
        <w:jc w:val="both"/>
        <w:rPr>
          <w:rFonts w:cs="Calibri" w:cstheme="minorHAnsi"/>
          <w:lang w:val="en-GB"/>
        </w:rPr>
      </w:pPr>
      <w:r>
        <w:rPr>
          <w:rFonts w:cs="Calibri" w:cstheme="minorHAnsi"/>
          <w:lang w:val="en-GB"/>
        </w:rPr>
        <w:t>TCP SYN flood;</w:t>
      </w:r>
    </w:p>
    <w:p>
      <w:pPr>
        <w:pStyle w:val="Normal"/>
        <w:spacing w:lineRule="auto" w:line="259" w:before="60" w:after="60"/>
        <w:ind w:start="1077"/>
        <w:jc w:val="both"/>
        <w:rPr>
          <w:rFonts w:cs="Calibri" w:cstheme="minorHAnsi"/>
          <w:lang w:val="en-GB"/>
        </w:rPr>
      </w:pPr>
      <w:r>
        <w:rPr>
          <w:rFonts w:cs="Calibri" w:cstheme="minorHAnsi"/>
          <w:lang w:val="en-GB"/>
        </w:rPr>
        <w:t>UDP flood (w tym DNS reflection);</w:t>
      </w:r>
    </w:p>
    <w:p>
      <w:pPr>
        <w:pStyle w:val="Normal"/>
        <w:spacing w:lineRule="auto" w:line="259" w:before="60" w:after="60"/>
        <w:ind w:start="1077"/>
        <w:jc w:val="both"/>
        <w:rPr>
          <w:rFonts w:cs="Calibri" w:cstheme="minorHAnsi"/>
          <w:lang w:val="en-GB"/>
        </w:rPr>
      </w:pPr>
      <w:r>
        <w:rPr>
          <w:rFonts w:cs="Calibri" w:cstheme="minorHAnsi"/>
          <w:lang w:val="en-GB"/>
        </w:rPr>
        <w:t>HTTP GET flood;</w:t>
      </w:r>
    </w:p>
    <w:p>
      <w:pPr>
        <w:pStyle w:val="Normal"/>
        <w:spacing w:lineRule="auto" w:line="259" w:before="60" w:after="60"/>
        <w:ind w:start="1077"/>
        <w:jc w:val="both"/>
        <w:rPr>
          <w:rFonts w:cs="Calibri" w:cstheme="minorHAnsi"/>
          <w:lang w:val="en-GB"/>
        </w:rPr>
      </w:pPr>
      <w:r>
        <w:rPr>
          <w:rFonts w:cs="Calibri" w:cstheme="minorHAnsi"/>
          <w:lang w:val="en-GB"/>
        </w:rPr>
        <w:t>HTTP POST flood;</w:t>
      </w:r>
    </w:p>
    <w:p>
      <w:pPr>
        <w:pStyle w:val="Normal"/>
        <w:spacing w:lineRule="auto" w:line="259" w:before="60" w:after="60"/>
        <w:ind w:hanging="10" w:start="1087" w:end="6182"/>
        <w:jc w:val="both"/>
        <w:rPr>
          <w:rFonts w:cs="Calibri" w:cstheme="minorHAnsi"/>
          <w:lang w:val="en-GB"/>
        </w:rPr>
      </w:pPr>
      <w:r>
        <w:rPr>
          <w:rFonts w:cs="Calibri" w:cstheme="minorHAnsi"/>
          <w:lang w:val="en-GB"/>
        </w:rPr>
        <w:t>ICMP flood IGMP;</w:t>
      </w:r>
    </w:p>
    <w:p>
      <w:pPr>
        <w:pStyle w:val="Normal"/>
        <w:spacing w:lineRule="auto" w:line="259" w:before="60" w:after="60"/>
        <w:ind w:hanging="10" w:start="1087" w:end="6182"/>
        <w:jc w:val="both"/>
        <w:rPr>
          <w:rFonts w:cs="Calibri" w:cstheme="minorHAnsi"/>
          <w:lang w:val="en-GB"/>
        </w:rPr>
      </w:pPr>
      <w:r>
        <w:rPr>
          <w:rFonts w:cs="Calibri" w:cstheme="minorHAnsi"/>
          <w:lang w:val="en-GB"/>
        </w:rPr>
        <w:t>flood invalid;</w:t>
      </w:r>
    </w:p>
    <w:p>
      <w:pPr>
        <w:pStyle w:val="Normal"/>
        <w:spacing w:lineRule="auto" w:line="259" w:before="60" w:after="60"/>
        <w:ind w:hanging="10" w:start="1087" w:end="6182"/>
        <w:jc w:val="both"/>
        <w:rPr>
          <w:rFonts w:cs="Calibri" w:cstheme="minorHAnsi"/>
          <w:lang w:val="en-GB"/>
        </w:rPr>
      </w:pPr>
      <w:r>
        <w:rPr>
          <w:rFonts w:cs="Calibri" w:cstheme="minorHAnsi"/>
          <w:lang w:val="en-GB"/>
        </w:rPr>
        <w:t>packets;</w:t>
      </w:r>
    </w:p>
    <w:p>
      <w:pPr>
        <w:pStyle w:val="Normal"/>
        <w:spacing w:lineRule="auto" w:line="259" w:before="60" w:after="60"/>
        <w:ind w:start="1077"/>
        <w:jc w:val="both"/>
        <w:rPr>
          <w:rFonts w:cs="Calibri" w:cstheme="minorHAnsi"/>
          <w:lang w:val="en-GB"/>
        </w:rPr>
      </w:pPr>
      <w:r>
        <w:rPr>
          <w:rFonts w:cs="Calibri" w:cstheme="minorHAnsi"/>
          <w:lang w:val="en-GB"/>
        </w:rPr>
        <w:t>IP fragments;</w:t>
      </w:r>
    </w:p>
    <w:p>
      <w:pPr>
        <w:pStyle w:val="Normal"/>
        <w:spacing w:lineRule="auto" w:line="259" w:before="60" w:after="60"/>
        <w:ind w:start="1077"/>
        <w:jc w:val="both"/>
        <w:rPr>
          <w:rFonts w:cs="Calibri" w:cstheme="minorHAnsi"/>
          <w:lang w:val="en-GB"/>
        </w:rPr>
      </w:pPr>
      <w:r>
        <w:rPr>
          <w:rFonts w:cs="Calibri" w:cstheme="minorHAnsi"/>
          <w:lang w:val="en-GB"/>
        </w:rPr>
        <w:t>IP NULL;</w:t>
      </w:r>
    </w:p>
    <w:p>
      <w:pPr>
        <w:pStyle w:val="Normal"/>
        <w:spacing w:lineRule="auto" w:line="259" w:before="60" w:after="60"/>
        <w:ind w:start="1077"/>
        <w:jc w:val="both"/>
        <w:rPr>
          <w:rFonts w:cs="Calibri" w:cstheme="minorHAnsi"/>
          <w:lang w:val="en-GB"/>
        </w:rPr>
      </w:pPr>
      <w:r>
        <w:rPr>
          <w:rFonts w:cs="Calibri" w:cstheme="minorHAnsi"/>
          <w:lang w:val="en-GB"/>
        </w:rPr>
        <w:t>DNS flood;</w:t>
      </w:r>
    </w:p>
    <w:p>
      <w:pPr>
        <w:pStyle w:val="Normal"/>
        <w:spacing w:lineRule="auto" w:line="259" w:before="60" w:after="60"/>
        <w:ind w:start="1077"/>
        <w:jc w:val="both"/>
        <w:rPr>
          <w:rFonts w:cs="Calibri" w:cstheme="minorHAnsi"/>
          <w:lang w:val="en-US"/>
        </w:rPr>
      </w:pPr>
      <w:r>
        <w:rPr>
          <w:rFonts w:cs="Calibri" w:cstheme="minorHAnsi"/>
          <w:lang w:val="en-US"/>
        </w:rPr>
        <w:t>SIP request flood.</w:t>
      </w:r>
    </w:p>
    <w:p>
      <w:pPr>
        <w:pStyle w:val="Normal"/>
        <w:numPr>
          <w:ilvl w:val="0"/>
          <w:numId w:val="2"/>
        </w:numPr>
        <w:spacing w:lineRule="auto" w:line="259" w:before="60" w:after="60"/>
        <w:ind w:hanging="10" w:start="357"/>
        <w:jc w:val="both"/>
        <w:rPr>
          <w:rFonts w:cs="Calibri" w:cstheme="minorHAnsi"/>
          <w:b/>
        </w:rPr>
      </w:pPr>
      <w:r>
        <w:rPr>
          <w:rFonts w:cs="Calibri" w:cstheme="minorHAnsi"/>
          <w:b/>
        </w:rPr>
        <w:t>Usługa ochrony przed atakami DDoS na warstwy aplikacji</w:t>
      </w:r>
    </w:p>
    <w:p>
      <w:pPr>
        <w:pStyle w:val="Normal"/>
        <w:spacing w:lineRule="auto" w:line="259" w:before="60" w:after="60"/>
        <w:ind w:hanging="10"/>
        <w:jc w:val="both"/>
        <w:rPr>
          <w:rFonts w:cs="Calibri" w:cstheme="minorHAnsi"/>
        </w:rPr>
      </w:pPr>
      <w:r>
        <w:rPr>
          <w:rFonts w:cs="Calibri" w:cstheme="minorHAnsi"/>
        </w:rPr>
        <w:t>Świadczenie usługi ochrony przed atakami DDoS na warstwę aplikacji przez dostawcę łączy dostępowych do sieci Internet w ramach własnej infrastruktury w sposób rozbudowujący podstawową ochronę (opisaną w niniejszym załączniku) przed atakami DDoS o analizę i ochronę przed zagrożeniami w warstwach aplikacji, spełniający poniższe wymagania.</w:t>
      </w:r>
    </w:p>
    <w:p>
      <w:pPr>
        <w:pStyle w:val="Normal"/>
        <w:numPr>
          <w:ilvl w:val="0"/>
          <w:numId w:val="2"/>
        </w:numPr>
        <w:spacing w:lineRule="auto" w:line="259" w:before="60" w:after="60"/>
        <w:ind w:hanging="10" w:start="357"/>
        <w:jc w:val="both"/>
        <w:rPr>
          <w:rFonts w:cs="Calibri" w:cstheme="minorHAnsi"/>
        </w:rPr>
      </w:pPr>
      <w:r>
        <w:rPr>
          <w:rFonts w:cs="Calibri" w:cstheme="minorHAnsi"/>
          <w:b/>
        </w:rPr>
        <w:t>Opis wymagań usługi</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oferowana musi zapewniać ochronę aplikacji Zamawiającego przed atakami na warstwę L7 modelu ISO/OSI systemów Zamawiającego;</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musi być realizowana w infrastrukturze dostawcy łącza;</w:t>
      </w:r>
    </w:p>
    <w:p>
      <w:pPr>
        <w:pStyle w:val="Normal"/>
        <w:numPr>
          <w:ilvl w:val="1"/>
          <w:numId w:val="2"/>
        </w:numPr>
        <w:spacing w:lineRule="auto" w:line="259" w:before="60" w:after="60"/>
        <w:ind w:hanging="360" w:start="720"/>
        <w:jc w:val="both"/>
        <w:rPr>
          <w:rFonts w:cs="Calibri" w:cstheme="minorHAnsi"/>
        </w:rPr>
      </w:pPr>
      <w:r>
        <w:rPr>
          <w:rFonts w:cs="Calibri" w:cstheme="minorHAnsi"/>
        </w:rPr>
        <w:t xml:space="preserve">Usługa ochrony przed atakami DDoS świadczona jest w modelu usługowym (ang. </w:t>
      </w:r>
      <w:r>
        <w:rPr>
          <w:rFonts w:cs="Calibri" w:cstheme="minorHAnsi"/>
          <w:i/>
          <w:iCs/>
        </w:rPr>
        <w:t>as a service</w:t>
      </w:r>
      <w:r>
        <w:rPr>
          <w:rFonts w:cs="Calibri" w:cstheme="minorHAnsi"/>
        </w:rPr>
        <w:t>);</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jest uruchamiana, konfigurowana, zarządzana i monitorowana przez inżynierów Wykonawcy;</w:t>
      </w:r>
    </w:p>
    <w:p>
      <w:pPr>
        <w:pStyle w:val="Normal"/>
        <w:numPr>
          <w:ilvl w:val="1"/>
          <w:numId w:val="2"/>
        </w:numPr>
        <w:spacing w:lineRule="auto" w:line="259" w:before="60" w:after="60"/>
        <w:ind w:hanging="360" w:start="720"/>
        <w:jc w:val="both"/>
        <w:rPr>
          <w:rFonts w:cs="Calibri" w:cstheme="minorHAnsi"/>
        </w:rPr>
      </w:pPr>
      <w:r>
        <w:rPr>
          <w:rFonts w:cs="Calibri" w:cstheme="minorHAnsi"/>
        </w:rPr>
        <w:t>„</w:t>
      </w:r>
      <w:r>
        <w:rPr>
          <w:rFonts w:cs="Calibri" w:cstheme="minorHAnsi"/>
        </w:rPr>
        <w:t>Oczyszczanie ruchu” odbywa się poprzez przekierowanie ruchu Zamawiającego do jednostek czyszczących Wykonawcy znajdujących się na terenie Polski lub Unii Europejskiej;</w:t>
      </w:r>
    </w:p>
    <w:p>
      <w:pPr>
        <w:pStyle w:val="Normal"/>
        <w:numPr>
          <w:ilvl w:val="1"/>
          <w:numId w:val="2"/>
        </w:numPr>
        <w:spacing w:lineRule="auto" w:line="259" w:before="60" w:after="60"/>
        <w:ind w:hanging="360" w:start="720"/>
        <w:jc w:val="both"/>
        <w:rPr>
          <w:rFonts w:cs="Calibri" w:cstheme="minorHAnsi"/>
        </w:rPr>
      </w:pPr>
      <w:r>
        <w:rPr>
          <w:rFonts w:cs="Calibri" w:cstheme="minorHAnsi"/>
        </w:rPr>
        <w:t>Infrastruktura sprzętowa świadcząca usługi ochrony DDoS musi być własnością Wykonawcy;</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musi zapewniać możliwość odparcia ataków o wolumenie do 80 Gbps i 100 Mpps;</w:t>
      </w:r>
    </w:p>
    <w:p>
      <w:pPr>
        <w:pStyle w:val="Normal"/>
        <w:numPr>
          <w:ilvl w:val="1"/>
          <w:numId w:val="2"/>
        </w:numPr>
        <w:spacing w:lineRule="auto" w:line="259" w:before="60" w:after="60"/>
        <w:ind w:hanging="360" w:start="720"/>
        <w:jc w:val="both"/>
        <w:rPr>
          <w:rFonts w:cs="Calibri" w:cstheme="minorHAnsi"/>
        </w:rPr>
      </w:pPr>
      <w:r>
        <w:rPr>
          <w:rFonts w:cs="Calibri" w:cstheme="minorHAnsi"/>
        </w:rPr>
        <w:t>Po oczyszczeniu ruchu w scrubbing center ruch do Zamawiającego musi być przesłany zgodnie z tablicą routingu, bez konieczności dodatkowej enkapsulacji;</w:t>
      </w:r>
    </w:p>
    <w:p>
      <w:pPr>
        <w:pStyle w:val="Normal"/>
        <w:numPr>
          <w:ilvl w:val="1"/>
          <w:numId w:val="2"/>
        </w:numPr>
        <w:spacing w:lineRule="auto" w:line="259" w:before="60" w:after="60"/>
        <w:ind w:hanging="360" w:start="720"/>
        <w:jc w:val="both"/>
        <w:rPr>
          <w:rFonts w:cs="Calibri" w:cstheme="minorHAnsi"/>
        </w:rPr>
      </w:pPr>
      <w:r>
        <w:rPr>
          <w:rFonts w:cs="Calibri" w:cstheme="minorHAnsi"/>
        </w:rPr>
        <w:t>Nie dopuszcza się by na potrzeby usługi ochrony przed atakami DDoS do zwrotnego przekierowania ruchu używane były tunele GRE;</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musi umożliwiać integracje z systemami bezpieczeństwa będącymi w posiadaniu Zamawiającego między innymi takim jak SIEM;</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musi w sposób ciągły monitorować ruch do usług Zamawiającego;</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musi umożliwiać uruchomienie mitygacji w sposób:</w:t>
      </w:r>
    </w:p>
    <w:p>
      <w:pPr>
        <w:pStyle w:val="Normal"/>
        <w:numPr>
          <w:ilvl w:val="2"/>
          <w:numId w:val="2"/>
        </w:numPr>
        <w:spacing w:lineRule="auto" w:line="259" w:before="60" w:after="60"/>
        <w:ind w:hanging="357" w:start="1071"/>
        <w:jc w:val="both"/>
        <w:rPr>
          <w:rFonts w:cs="Calibri" w:cstheme="minorHAnsi"/>
        </w:rPr>
      </w:pPr>
      <w:r>
        <w:rPr>
          <w:rFonts w:cs="Calibri" w:cstheme="minorHAnsi"/>
        </w:rPr>
        <w:t>Automatyczny – dokonywany do 5 min. po wykryciu anomalii;</w:t>
      </w:r>
    </w:p>
    <w:p>
      <w:pPr>
        <w:pStyle w:val="Normal"/>
        <w:numPr>
          <w:ilvl w:val="2"/>
          <w:numId w:val="2"/>
        </w:numPr>
        <w:spacing w:lineRule="auto" w:line="259" w:before="60" w:after="60"/>
        <w:ind w:hanging="357" w:start="1071"/>
        <w:jc w:val="both"/>
        <w:rPr>
          <w:rFonts w:cs="Calibri" w:cstheme="minorHAnsi"/>
        </w:rPr>
      </w:pPr>
      <w:r>
        <w:rPr>
          <w:rFonts w:cs="Calibri" w:cstheme="minorHAnsi"/>
        </w:rPr>
        <w:t>Ręczny – po otrzymaniu potwierdzenia przez Zamawiającego – do 30 min.;</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posiada możliwość przerwania mitygacji w dowolnym momencie;</w:t>
      </w:r>
    </w:p>
    <w:p>
      <w:pPr>
        <w:pStyle w:val="Normal"/>
        <w:numPr>
          <w:ilvl w:val="1"/>
          <w:numId w:val="2"/>
        </w:numPr>
        <w:spacing w:lineRule="auto" w:line="259" w:before="60" w:after="60"/>
        <w:ind w:hanging="360" w:start="720"/>
        <w:jc w:val="both"/>
        <w:rPr>
          <w:rFonts w:cs="Calibri" w:cstheme="minorHAnsi"/>
        </w:rPr>
      </w:pPr>
      <w:r>
        <w:rPr>
          <w:rFonts w:cs="Calibri" w:cstheme="minorHAnsi"/>
        </w:rPr>
        <w:t>Usługa ochrony przed atakami DDoS zapewnia filtrowanie pakietów minimum według następujących mechanizmów:</w:t>
      </w:r>
    </w:p>
    <w:p>
      <w:pPr>
        <w:pStyle w:val="Normal"/>
        <w:numPr>
          <w:ilvl w:val="2"/>
          <w:numId w:val="2"/>
        </w:numPr>
        <w:spacing w:lineRule="auto" w:line="259" w:before="60" w:after="60"/>
        <w:ind w:hanging="357" w:start="1071"/>
        <w:jc w:val="both"/>
        <w:rPr>
          <w:rFonts w:cs="Calibri" w:cstheme="minorHAnsi"/>
        </w:rPr>
      </w:pPr>
      <w:r>
        <w:rPr>
          <w:rFonts w:cs="Calibri" w:cstheme="minorHAnsi"/>
        </w:rPr>
        <w:t>Filtr ograniczający ruch po przekroczeniu progu mitygacji – konfigurowany wg. portów lub protokołów. Może być wykorzystywany do ataków typu „reflected” dla ruchu, który nie jest niezbędny do działania usługi;</w:t>
      </w:r>
    </w:p>
    <w:p>
      <w:pPr>
        <w:pStyle w:val="Normal"/>
        <w:numPr>
          <w:ilvl w:val="2"/>
          <w:numId w:val="2"/>
        </w:numPr>
        <w:spacing w:lineRule="auto" w:line="259" w:before="60" w:after="60"/>
        <w:ind w:hanging="357" w:start="1071"/>
        <w:jc w:val="both"/>
        <w:rPr>
          <w:rFonts w:cs="Calibri" w:cstheme="minorHAnsi"/>
        </w:rPr>
      </w:pPr>
      <w:r>
        <w:rPr>
          <w:rFonts w:cs="Calibri" w:cstheme="minorHAnsi"/>
        </w:rPr>
        <w:t>DNS – spoofowanie zapytań UDP;</w:t>
      </w:r>
    </w:p>
    <w:p>
      <w:pPr>
        <w:pStyle w:val="Normal"/>
        <w:numPr>
          <w:ilvl w:val="2"/>
          <w:numId w:val="2"/>
        </w:numPr>
        <w:spacing w:lineRule="auto" w:line="259" w:before="60" w:after="60"/>
        <w:ind w:hanging="357" w:start="1071"/>
        <w:jc w:val="both"/>
        <w:rPr>
          <w:rFonts w:cs="Calibri" w:cstheme="minorHAnsi"/>
        </w:rPr>
      </w:pPr>
      <w:r>
        <w:rPr>
          <w:rFonts w:cs="Calibri" w:cstheme="minorHAnsi"/>
        </w:rPr>
        <w:t>Filtr zapewniający możliwość określenia, które z obiektów wykorzystują komunikację UDP;</w:t>
      </w:r>
    </w:p>
    <w:p>
      <w:pPr>
        <w:pStyle w:val="Normal"/>
        <w:numPr>
          <w:ilvl w:val="2"/>
          <w:numId w:val="2"/>
        </w:numPr>
        <w:spacing w:lineRule="auto" w:line="259" w:before="60" w:after="60"/>
        <w:ind w:hanging="357" w:start="1071"/>
        <w:jc w:val="both"/>
        <w:rPr>
          <w:rFonts w:cs="Calibri" w:cstheme="minorHAnsi"/>
        </w:rPr>
      </w:pPr>
      <w:r>
        <w:rPr>
          <w:rFonts w:cs="Calibri" w:cstheme="minorHAnsi"/>
        </w:rPr>
        <w:t>Zarządzanie sesjami – filtry pozwalające na monitorowanie oraz zarządzanie sesjami TCP – między innymi zarządzanie sesjami „TCP half-open” itp.;</w:t>
      </w:r>
    </w:p>
    <w:p>
      <w:pPr>
        <w:pStyle w:val="Normal"/>
        <w:numPr>
          <w:ilvl w:val="2"/>
          <w:numId w:val="2"/>
        </w:numPr>
        <w:spacing w:lineRule="auto" w:line="259" w:before="60" w:after="60"/>
        <w:ind w:hanging="357" w:start="1071"/>
        <w:jc w:val="both"/>
        <w:rPr>
          <w:rFonts w:cs="Calibri" w:cstheme="minorHAnsi"/>
        </w:rPr>
      </w:pPr>
      <w:r>
        <w:rPr>
          <w:rFonts w:cs="Calibri" w:cstheme="minorHAnsi"/>
        </w:rPr>
        <w:t>Filtr „Porty” – biała oraz czarna lista portów docelowych oraz źródłowych – uwzględniająca usługi działające na dynamicznie lub statycznie zmieniających porty;</w:t>
      </w:r>
    </w:p>
    <w:p>
      <w:pPr>
        <w:pStyle w:val="Normal"/>
        <w:numPr>
          <w:ilvl w:val="2"/>
          <w:numId w:val="2"/>
        </w:numPr>
        <w:spacing w:lineRule="auto" w:line="259" w:before="60" w:after="60"/>
        <w:ind w:hanging="357" w:start="1071"/>
        <w:jc w:val="both"/>
        <w:rPr>
          <w:rFonts w:cs="Calibri" w:cstheme="minorHAnsi"/>
        </w:rPr>
      </w:pPr>
      <w:r>
        <w:rPr>
          <w:rFonts w:cs="Calibri" w:cstheme="minorHAnsi"/>
        </w:rPr>
        <w:t>Filtr geolokalizacji IP – usługa ochrony przed atakami DDoS musi umożliwiać zarządzanie ruchem sieciowym zgodnie z adresacją IP z podanych państw, kontynentów – możliwość określenia, czy podczas ataku adresy źródłowe muszą zostać ograniczone do wskazanych obszarów geograficznych;</w:t>
      </w:r>
    </w:p>
    <w:p>
      <w:pPr>
        <w:pStyle w:val="Normal"/>
        <w:numPr>
          <w:ilvl w:val="2"/>
          <w:numId w:val="2"/>
        </w:numPr>
        <w:spacing w:lineRule="auto" w:line="259" w:before="60" w:after="60"/>
        <w:ind w:hanging="357" w:start="1071"/>
        <w:jc w:val="both"/>
        <w:rPr>
          <w:rFonts w:cs="Calibri" w:cstheme="minorHAnsi"/>
        </w:rPr>
      </w:pPr>
      <w:r>
        <w:rPr>
          <w:rFonts w:cs="Calibri" w:cstheme="minorHAnsi"/>
        </w:rPr>
        <w:t xml:space="preserve">Filtry zapewniające możliwość realizacji kierowania ruchu IP zgodnie z poniższą funkcjonalnością: </w:t>
      </w:r>
    </w:p>
    <w:p>
      <w:pPr>
        <w:pStyle w:val="ListParagraph"/>
        <w:numPr>
          <w:ilvl w:val="1"/>
          <w:numId w:val="6"/>
        </w:numPr>
        <w:spacing w:lineRule="auto" w:line="259" w:before="60" w:after="60"/>
        <w:contextualSpacing w:val="false"/>
        <w:jc w:val="both"/>
        <w:rPr>
          <w:rFonts w:cs="Calibri" w:cstheme="minorHAnsi"/>
        </w:rPr>
      </w:pPr>
      <w:r>
        <w:rPr>
          <w:rFonts w:cs="Calibri" w:cstheme="minorHAnsi"/>
        </w:rPr>
        <w:t>Blacklist;</w:t>
      </w:r>
    </w:p>
    <w:p>
      <w:pPr>
        <w:pStyle w:val="ListParagraph"/>
        <w:numPr>
          <w:ilvl w:val="1"/>
          <w:numId w:val="6"/>
        </w:numPr>
        <w:spacing w:lineRule="auto" w:line="259" w:before="60" w:after="60"/>
        <w:contextualSpacing w:val="false"/>
        <w:jc w:val="both"/>
        <w:rPr>
          <w:rFonts w:cs="Calibri" w:cstheme="minorHAnsi"/>
        </w:rPr>
      </w:pPr>
      <w:r>
        <w:rPr>
          <w:rFonts w:cs="Calibri" w:cstheme="minorHAnsi"/>
        </w:rPr>
        <w:t>Whitelist;</w:t>
      </w:r>
    </w:p>
    <w:p>
      <w:pPr>
        <w:pStyle w:val="ListParagraph"/>
        <w:numPr>
          <w:ilvl w:val="1"/>
          <w:numId w:val="6"/>
        </w:numPr>
        <w:spacing w:lineRule="auto" w:line="259" w:before="60" w:after="60"/>
        <w:contextualSpacing w:val="false"/>
        <w:jc w:val="both"/>
        <w:rPr>
          <w:rFonts w:cs="Calibri" w:cstheme="minorHAnsi"/>
        </w:rPr>
      </w:pPr>
      <w:r>
        <w:rPr>
          <w:rFonts w:cs="Calibri" w:cstheme="minorHAnsi"/>
        </w:rPr>
        <w:t>Greylist – przycinanie/limitowanie ruchu powyżej zadanej wartości.</w:t>
      </w:r>
    </w:p>
    <w:p>
      <w:pPr>
        <w:pStyle w:val="Normal"/>
        <w:numPr>
          <w:ilvl w:val="1"/>
          <w:numId w:val="2"/>
        </w:numPr>
        <w:spacing w:lineRule="auto" w:line="259" w:before="60" w:after="60"/>
        <w:ind w:hanging="360" w:start="720"/>
        <w:jc w:val="both"/>
        <w:rPr>
          <w:rFonts w:cs="Calibri" w:cstheme="minorHAnsi"/>
        </w:rPr>
      </w:pPr>
      <w:r>
        <w:rPr>
          <w:rFonts w:cs="Calibri" w:cstheme="minorHAnsi"/>
        </w:rPr>
        <w:t>System usługi ochrony przed atakami DDoS aplikacyjnymi musi wykrywać minimum poniższe ataki warstw L5 - L7 ISO/OSI:</w:t>
      </w:r>
    </w:p>
    <w:p>
      <w:pPr>
        <w:pStyle w:val="Normal"/>
        <w:numPr>
          <w:ilvl w:val="2"/>
          <w:numId w:val="2"/>
        </w:numPr>
        <w:spacing w:lineRule="auto" w:line="259" w:before="60" w:after="60"/>
        <w:ind w:hanging="360" w:start="1071"/>
        <w:jc w:val="both"/>
        <w:rPr>
          <w:rFonts w:cs="Calibri" w:cstheme="minorHAnsi"/>
        </w:rPr>
      </w:pPr>
      <w:r>
        <w:rPr>
          <w:rFonts w:cs="Calibri" w:cstheme="minorHAnsi"/>
        </w:rPr>
        <w:t xml:space="preserve">SIP Request Flood, </w:t>
      </w:r>
    </w:p>
    <w:p>
      <w:pPr>
        <w:pStyle w:val="Normal"/>
        <w:numPr>
          <w:ilvl w:val="2"/>
          <w:numId w:val="2"/>
        </w:numPr>
        <w:spacing w:lineRule="auto" w:line="259" w:before="60" w:after="60"/>
        <w:ind w:hanging="360" w:start="1071"/>
        <w:jc w:val="both"/>
        <w:rPr>
          <w:rFonts w:cs="Calibri" w:cstheme="minorHAnsi"/>
        </w:rPr>
      </w:pPr>
      <w:r>
        <w:rPr>
          <w:rFonts w:cs="Calibri" w:cstheme="minorHAnsi"/>
        </w:rPr>
        <w:t>SSL Abuse</w:t>
      </w:r>
    </w:p>
    <w:p>
      <w:pPr>
        <w:pStyle w:val="Normal"/>
        <w:numPr>
          <w:ilvl w:val="2"/>
          <w:numId w:val="2"/>
        </w:numPr>
        <w:spacing w:lineRule="auto" w:line="259" w:before="60" w:after="60"/>
        <w:ind w:hanging="360" w:start="1071"/>
        <w:jc w:val="both"/>
        <w:rPr>
          <w:rFonts w:cs="Calibri" w:cstheme="minorHAnsi"/>
        </w:rPr>
      </w:pPr>
      <w:r>
        <w:rPr>
          <w:rFonts w:cs="Calibri" w:cstheme="minorHAnsi"/>
        </w:rPr>
        <w:t>HTTP flood,</w:t>
      </w:r>
    </w:p>
    <w:p>
      <w:pPr>
        <w:pStyle w:val="Normal"/>
        <w:numPr>
          <w:ilvl w:val="2"/>
          <w:numId w:val="2"/>
        </w:numPr>
        <w:spacing w:lineRule="auto" w:line="259" w:before="60" w:after="60"/>
        <w:ind w:hanging="360" w:start="1071"/>
        <w:jc w:val="both"/>
        <w:rPr>
          <w:rFonts w:cs="Calibri" w:cstheme="minorHAnsi"/>
        </w:rPr>
      </w:pPr>
      <w:r>
        <w:rPr>
          <w:rFonts w:cs="Calibri" w:cstheme="minorHAnsi"/>
        </w:rPr>
        <w:t>NTP reflected/amplification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DNS reflected/amplification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CLDAP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CHARGEN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L2TP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MSSQL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NetBIOS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RCPBIND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SNMP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mDNS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SSDP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Memcached Amplification / Reflection attack</w:t>
      </w:r>
    </w:p>
    <w:p>
      <w:pPr>
        <w:pStyle w:val="Normal"/>
        <w:numPr>
          <w:ilvl w:val="2"/>
          <w:numId w:val="2"/>
        </w:numPr>
        <w:spacing w:lineRule="auto" w:line="259" w:before="60" w:after="60"/>
        <w:ind w:hanging="360" w:start="1071"/>
        <w:jc w:val="both"/>
        <w:rPr>
          <w:rFonts w:cs="Calibri" w:cstheme="minorHAnsi"/>
        </w:rPr>
      </w:pPr>
      <w:r>
        <w:rPr>
          <w:rFonts w:cs="Calibri" w:cstheme="minorHAnsi"/>
        </w:rPr>
        <w:t>QOTD Reflection</w:t>
      </w:r>
    </w:p>
    <w:p>
      <w:pPr>
        <w:pStyle w:val="Normal"/>
        <w:numPr>
          <w:ilvl w:val="2"/>
          <w:numId w:val="2"/>
        </w:numPr>
        <w:spacing w:lineRule="auto" w:line="259" w:before="60" w:after="60"/>
        <w:ind w:hanging="360" w:start="1071"/>
        <w:jc w:val="both"/>
        <w:rPr>
          <w:rFonts w:cs="Calibri" w:cstheme="minorHAnsi"/>
          <w:lang w:val="en-US"/>
        </w:rPr>
      </w:pPr>
      <w:r>
        <w:rPr>
          <w:rFonts w:cs="Calibri" w:cstheme="minorHAnsi"/>
          <w:lang w:val="en-US"/>
        </w:rPr>
        <w:t>Invalid packets - Bad UDP Payload length</w:t>
      </w:r>
    </w:p>
    <w:p>
      <w:pPr>
        <w:pStyle w:val="Normal"/>
        <w:numPr>
          <w:ilvl w:val="2"/>
          <w:numId w:val="2"/>
        </w:numPr>
        <w:spacing w:lineRule="auto" w:line="259" w:before="60" w:after="60"/>
        <w:ind w:hanging="360" w:start="1071"/>
        <w:jc w:val="both"/>
        <w:rPr>
          <w:rFonts w:cs="Calibri" w:cstheme="minorHAnsi"/>
        </w:rPr>
      </w:pPr>
      <w:r>
        <w:rPr>
          <w:rFonts w:cs="Calibri" w:cstheme="minorHAnsi"/>
        </w:rPr>
        <w:t>Ataki typu „Slowloris”</w:t>
      </w:r>
    </w:p>
    <w:p>
      <w:pPr>
        <w:pStyle w:val="Normal"/>
        <w:numPr>
          <w:ilvl w:val="0"/>
          <w:numId w:val="2"/>
        </w:numPr>
        <w:spacing w:lineRule="auto" w:line="259" w:before="60" w:after="60"/>
        <w:ind w:hanging="10" w:start="357"/>
        <w:jc w:val="both"/>
        <w:rPr>
          <w:rFonts w:cs="Calibri" w:cstheme="minorHAnsi"/>
          <w:b/>
        </w:rPr>
      </w:pPr>
      <w:r>
        <w:rPr>
          <w:rFonts w:cs="Calibri" w:cstheme="minorHAnsi"/>
          <w:b/>
        </w:rPr>
        <w:t>Poziom SLA dotyczący powiadomienia o Ataku</w:t>
      </w:r>
    </w:p>
    <w:p>
      <w:pPr>
        <w:pStyle w:val="Normal"/>
        <w:numPr>
          <w:ilvl w:val="1"/>
          <w:numId w:val="2"/>
        </w:numPr>
        <w:spacing w:lineRule="auto" w:line="259" w:before="60" w:after="60"/>
        <w:ind w:hanging="360" w:start="720"/>
        <w:jc w:val="both"/>
        <w:rPr>
          <w:rFonts w:cs="Calibri" w:cstheme="minorHAnsi"/>
        </w:rPr>
      </w:pPr>
      <w:r>
        <w:rPr>
          <w:rFonts w:cs="Calibri" w:cstheme="minorHAnsi"/>
          <w:b/>
        </w:rPr>
        <w:t>Czas Reakcji na Atak DDoS (CRA)</w:t>
      </w:r>
      <w:r>
        <w:rPr>
          <w:rFonts w:cs="Calibri" w:cstheme="minorHAnsi"/>
        </w:rPr>
        <w:t>:</w:t>
      </w:r>
    </w:p>
    <w:p>
      <w:pPr>
        <w:pStyle w:val="Normal"/>
        <w:numPr>
          <w:ilvl w:val="2"/>
          <w:numId w:val="2"/>
        </w:numPr>
        <w:spacing w:lineRule="auto" w:line="259" w:before="60" w:after="60"/>
        <w:ind w:hanging="360" w:start="1071"/>
        <w:jc w:val="both"/>
        <w:rPr>
          <w:rFonts w:cs="Calibri" w:cstheme="minorHAnsi"/>
        </w:rPr>
      </w:pPr>
      <w:r>
        <w:rPr>
          <w:rFonts w:cs="Calibri" w:cstheme="minorHAnsi"/>
        </w:rPr>
        <w:t xml:space="preserve">przez CRA rozumie się czas, jaki upłynie od wykrycia Ataku DDoS do rozpoczęcia skutecznego poinformowania Zamawiającego, za pośrednictwem poczty elektronicznej, </w:t>
        <w:br/>
        <w:t xml:space="preserve">z zastrzeżeniem, że dopuszcza się formę telefoniczną w przypadku braku możliwości przesłania informacji poprzez pocztę elektroniczną </w:t>
      </w:r>
    </w:p>
    <w:p>
      <w:pPr>
        <w:pStyle w:val="Normal"/>
        <w:numPr>
          <w:ilvl w:val="2"/>
          <w:numId w:val="2"/>
        </w:numPr>
        <w:spacing w:lineRule="auto" w:line="259" w:before="60" w:after="60"/>
        <w:ind w:hanging="360" w:start="1071"/>
        <w:jc w:val="both"/>
        <w:rPr>
          <w:rFonts w:cs="Calibri" w:cstheme="minorHAnsi"/>
        </w:rPr>
      </w:pPr>
      <w:r>
        <w:rPr>
          <w:rFonts w:cs="Calibri" w:cstheme="minorHAnsi"/>
        </w:rPr>
        <w:t>przez skuteczne poinformowanie Zamawiającego rozumie się przekazanie informacji za pośrednictwem poczty elektronicznej lub rozmowę z przedstawicielem Zamawiającego oraz jego poprawną autoryzację,</w:t>
      </w:r>
    </w:p>
    <w:p>
      <w:pPr>
        <w:pStyle w:val="Normal"/>
        <w:numPr>
          <w:ilvl w:val="2"/>
          <w:numId w:val="2"/>
        </w:numPr>
        <w:spacing w:lineRule="auto" w:line="259" w:before="60" w:after="60"/>
        <w:ind w:hanging="360" w:start="1071"/>
        <w:jc w:val="both"/>
        <w:rPr>
          <w:rFonts w:cs="Calibri" w:cstheme="minorHAnsi"/>
        </w:rPr>
      </w:pPr>
      <w:r>
        <w:rPr>
          <w:rFonts w:cs="Calibri" w:cstheme="minorHAnsi"/>
        </w:rPr>
        <w:t>czas CRA liczony jest od momentu zaraportowania na platformie Ataku do czasu zarejestrowania w systemie teleinformatycznym Wykonawcy czasu dokonania pierwszej czynności mającej na celu skuteczne poinformowanie Zamawiającego o Ataku (czas wysłania e-maila, czas wykonania rozmowy telefonicznej),</w:t>
      </w:r>
    </w:p>
    <w:p>
      <w:pPr>
        <w:pStyle w:val="Normal"/>
        <w:numPr>
          <w:ilvl w:val="2"/>
          <w:numId w:val="2"/>
        </w:numPr>
        <w:spacing w:lineRule="auto" w:line="259" w:before="60" w:after="60"/>
        <w:ind w:hanging="360" w:start="1071"/>
        <w:jc w:val="both"/>
        <w:rPr>
          <w:rFonts w:cs="Calibri" w:cstheme="minorHAnsi"/>
        </w:rPr>
      </w:pPr>
      <w:r>
        <w:rPr>
          <w:rFonts w:cs="Calibri" w:cstheme="minorHAnsi"/>
        </w:rPr>
        <w:t>w przypadku kontaktu Wykonawcy z Zamawiającym za pośrednictwem poczty elektronicznej, CRA liczone jest w następujący sposób: od momentu wykrycia Ataku przez system Wykonawcy do momentu wysłania e-maila z opcją żądania potwierdzenia przeczytania. W przypadku braku potwierdzenia przeczytania e-maila przez Zamawiającego w maksymalnym czasie CRA, Wykonawca podejmuje próbę kontaktu telefonicznego, a w przypadku nieskutecznej pierwszej próby kontaktu telefonicznego Wykonawca wysyła SMS do grupy adresowej z informacją o zanotowanym Ataku,</w:t>
      </w:r>
    </w:p>
    <w:p>
      <w:pPr>
        <w:pStyle w:val="Normal"/>
        <w:numPr>
          <w:ilvl w:val="2"/>
          <w:numId w:val="2"/>
        </w:numPr>
        <w:spacing w:lineRule="auto" w:line="259" w:before="60" w:after="60"/>
        <w:ind w:hanging="360" w:start="1071"/>
        <w:jc w:val="both"/>
        <w:rPr>
          <w:rFonts w:cs="Calibri" w:cstheme="minorHAnsi"/>
        </w:rPr>
      </w:pPr>
      <w:r>
        <w:rPr>
          <w:rFonts w:cs="Calibri" w:cstheme="minorHAnsi"/>
        </w:rPr>
        <w:t xml:space="preserve">w przypadku telefonicznego kontaktu Wykonawcy z Zamawiającym, CRA liczone jest </w:t>
        <w:br/>
        <w:t xml:space="preserve">w następujący sposób: czas mierzony jest od momentu wykrycia Ataku przez system Wykonawcy do momentu próby wykonania pierwszego telefonicznego kontaktu </w:t>
        <w:br/>
        <w:t xml:space="preserve">z Zamawiającym (zgodnie z listą osób/numerów i priorytetami wskazanym przez Zamawiającego). Każda próba kontaktu będzie wykonywana przez Wykonawcę co dwie minuty w maksymalnym czasie CRA. Jeśli nie dojdzie do skutecznego kontaktu w pierwszej próbie, Wykonawca zobowiązany jest do wykonania następnej próby do kolejno wskazanych osób/numerów z listy kontaktów. W przypadku niemożności uzyskania połączenia z Zamawiającym w maksymalnym czasie CRA we wszystkich próbach kontaktu, Wykonawca wysyła </w:t>
      </w:r>
    </w:p>
    <w:p>
      <w:pPr>
        <w:pStyle w:val="Normal"/>
        <w:numPr>
          <w:ilvl w:val="2"/>
          <w:numId w:val="2"/>
        </w:numPr>
        <w:spacing w:lineRule="auto" w:line="259" w:before="60" w:after="60"/>
        <w:ind w:hanging="360" w:start="1071"/>
        <w:jc w:val="both"/>
        <w:rPr>
          <w:rFonts w:cs="Calibri" w:cstheme="minorHAnsi"/>
        </w:rPr>
      </w:pPr>
      <w:r>
        <w:rPr>
          <w:rFonts w:cs="Calibri" w:cstheme="minorHAnsi"/>
        </w:rPr>
        <w:t xml:space="preserve">SMS do grupy adresowej z informacją o zanotowanym Ataku, </w:t>
      </w:r>
    </w:p>
    <w:p>
      <w:pPr>
        <w:pStyle w:val="Normal"/>
        <w:numPr>
          <w:ilvl w:val="2"/>
          <w:numId w:val="2"/>
        </w:numPr>
        <w:spacing w:lineRule="auto" w:line="259" w:before="60" w:after="60"/>
        <w:ind w:hanging="360" w:start="1071"/>
        <w:jc w:val="both"/>
        <w:rPr>
          <w:rFonts w:cs="Calibri" w:cstheme="minorHAnsi"/>
        </w:rPr>
      </w:pPr>
      <w:r>
        <w:rPr>
          <w:rFonts w:cs="Calibri" w:cstheme="minorHAnsi"/>
        </w:rPr>
        <w:t xml:space="preserve">w przypadku świadczenia usługi ochrony przed Atakami DDoS na żądanie Zamawiającego ochrona nie będzie włączona do momentu skutecznego kontaktu z Zamawiającym </w:t>
        <w:br/>
        <w:t>i potwierdzenia decyzji o włączeniu lub braku włączenia ochrony,</w:t>
      </w:r>
    </w:p>
    <w:p>
      <w:pPr>
        <w:pStyle w:val="Normal"/>
        <w:numPr>
          <w:ilvl w:val="2"/>
          <w:numId w:val="2"/>
        </w:numPr>
        <w:spacing w:lineRule="auto" w:line="259" w:before="60" w:after="60"/>
        <w:ind w:hanging="360" w:start="1071"/>
        <w:jc w:val="both"/>
        <w:rPr>
          <w:rFonts w:cs="Calibri" w:cstheme="minorHAnsi"/>
        </w:rPr>
      </w:pPr>
      <w:r>
        <w:rPr>
          <w:rFonts w:cs="Calibri" w:cstheme="minorHAnsi"/>
        </w:rPr>
        <w:t>wartość parametru CRA wynosi maksymalnie 15 minut.</w:t>
      </w:r>
    </w:p>
    <w:p>
      <w:pPr>
        <w:pStyle w:val="Normal"/>
        <w:numPr>
          <w:ilvl w:val="1"/>
          <w:numId w:val="2"/>
        </w:numPr>
        <w:spacing w:lineRule="auto" w:line="259" w:before="60" w:after="60"/>
        <w:ind w:hanging="360" w:start="720"/>
        <w:jc w:val="both"/>
        <w:rPr>
          <w:rFonts w:cs="Calibri" w:cstheme="minorHAnsi"/>
        </w:rPr>
      </w:pPr>
      <w:r>
        <w:rPr>
          <w:rFonts w:cs="Calibri" w:cstheme="minorHAnsi"/>
          <w:b/>
        </w:rPr>
        <w:t>Czas Reakcji na Zlecenie oczyszczania ruchu (CRZ)</w:t>
      </w:r>
      <w:r>
        <w:rPr>
          <w:rFonts w:cs="Calibri" w:cstheme="minorHAnsi"/>
        </w:rPr>
        <w:t>:</w:t>
      </w:r>
    </w:p>
    <w:p>
      <w:pPr>
        <w:pStyle w:val="Normal"/>
        <w:numPr>
          <w:ilvl w:val="2"/>
          <w:numId w:val="2"/>
        </w:numPr>
        <w:spacing w:lineRule="auto" w:line="259" w:before="60" w:after="60"/>
        <w:ind w:hanging="360" w:start="1071"/>
        <w:jc w:val="both"/>
        <w:rPr>
          <w:rFonts w:cs="Calibri" w:cstheme="minorHAnsi"/>
        </w:rPr>
      </w:pPr>
      <w:r>
        <w:rPr>
          <w:rFonts w:cs="Calibri" w:cstheme="minorHAnsi"/>
        </w:rPr>
        <w:t>przez CRZ rozumie się czas, jaki upłynie od przyjęcia Zlecenia od Zamawiającego z żądaniem włączenia lub wyłączenia oczyszczania po zarejestrowanym Ataku DDoS.</w:t>
      </w:r>
    </w:p>
    <w:p>
      <w:pPr>
        <w:pStyle w:val="Normal"/>
        <w:numPr>
          <w:ilvl w:val="2"/>
          <w:numId w:val="2"/>
        </w:numPr>
        <w:spacing w:lineRule="auto" w:line="259" w:before="60" w:after="60"/>
        <w:ind w:hanging="360" w:start="1071"/>
        <w:jc w:val="both"/>
        <w:rPr>
          <w:rFonts w:cs="Calibri" w:cstheme="minorHAnsi"/>
        </w:rPr>
      </w:pPr>
      <w:r>
        <w:rPr>
          <w:rFonts w:cs="Calibri" w:cstheme="minorHAnsi"/>
        </w:rPr>
        <w:t>wartość parametru CRZ wynosi maksymalnie 15 minut.</w:t>
      </w:r>
    </w:p>
    <w:p>
      <w:pPr>
        <w:pStyle w:val="Normal"/>
        <w:numPr>
          <w:ilvl w:val="0"/>
          <w:numId w:val="2"/>
        </w:numPr>
        <w:spacing w:lineRule="auto" w:line="259" w:before="60" w:after="60"/>
        <w:ind w:hanging="360" w:start="357"/>
        <w:jc w:val="both"/>
        <w:rPr>
          <w:rFonts w:cs="Calibri" w:cstheme="minorHAnsi"/>
          <w:b/>
        </w:rPr>
      </w:pPr>
      <w:r>
        <w:rPr>
          <w:rFonts w:cs="Calibri" w:cstheme="minorHAnsi"/>
          <w:b/>
        </w:rPr>
        <w:t xml:space="preserve">Raporty miesięczne </w:t>
      </w:r>
    </w:p>
    <w:p>
      <w:pPr>
        <w:pStyle w:val="Normal"/>
        <w:spacing w:lineRule="auto" w:line="259" w:before="60" w:after="60"/>
        <w:ind w:start="357"/>
        <w:jc w:val="both"/>
        <w:rPr>
          <w:rFonts w:cs="Calibri" w:cstheme="minorHAnsi"/>
        </w:rPr>
      </w:pPr>
      <w:r>
        <w:rPr>
          <w:rFonts w:cs="Calibri" w:cstheme="minorHAnsi"/>
        </w:rPr>
        <w:t>Zamawiający wymaga umieszczania w comiesięcznych Protokołach odbioru Usługi w punkcie dotyczącym usługi ochrony przed Atakami DDoS (</w:t>
      </w:r>
      <w:r>
        <w:rPr>
          <w:rFonts w:cs="Calibri" w:cstheme="minorHAnsi"/>
          <w:b/>
        </w:rPr>
        <w:t>Załącznik nr 4 do Umowy)</w:t>
      </w:r>
      <w:r>
        <w:rPr>
          <w:rFonts w:cs="Calibri" w:cstheme="minorHAnsi"/>
        </w:rPr>
        <w:t xml:space="preserve"> informacji zawierających co najmniej następujące statystyki:</w:t>
      </w:r>
    </w:p>
    <w:p>
      <w:pPr>
        <w:pStyle w:val="Normal"/>
        <w:numPr>
          <w:ilvl w:val="2"/>
          <w:numId w:val="2"/>
        </w:numPr>
        <w:spacing w:lineRule="auto" w:line="259" w:before="60" w:after="60"/>
        <w:ind w:hanging="360" w:start="1071"/>
        <w:jc w:val="both"/>
        <w:rPr>
          <w:rFonts w:cs="Calibri" w:cstheme="minorHAnsi"/>
        </w:rPr>
      </w:pPr>
      <w:r>
        <w:rPr>
          <w:rFonts w:cs="Calibri" w:cstheme="minorHAnsi"/>
        </w:rPr>
        <w:t>uśredniony poziom ruchu wchodzącego i wychodzącego,</w:t>
      </w:r>
    </w:p>
    <w:p>
      <w:pPr>
        <w:pStyle w:val="Normal"/>
        <w:numPr>
          <w:ilvl w:val="2"/>
          <w:numId w:val="2"/>
        </w:numPr>
        <w:spacing w:lineRule="auto" w:line="259" w:before="60" w:after="60"/>
        <w:ind w:hanging="360" w:start="1071"/>
        <w:jc w:val="both"/>
        <w:rPr>
          <w:rFonts w:cs="Calibri" w:cstheme="minorHAnsi"/>
        </w:rPr>
      </w:pPr>
      <w:r>
        <w:rPr>
          <w:rFonts w:cs="Calibri" w:cstheme="minorHAnsi"/>
        </w:rPr>
        <w:t>maksymalne poziomy ruchu,</w:t>
      </w:r>
    </w:p>
    <w:p>
      <w:pPr>
        <w:pStyle w:val="Normal"/>
        <w:numPr>
          <w:ilvl w:val="2"/>
          <w:numId w:val="2"/>
        </w:numPr>
        <w:spacing w:lineRule="auto" w:line="259" w:before="60" w:after="60"/>
        <w:ind w:hanging="360" w:start="1071"/>
        <w:jc w:val="both"/>
        <w:rPr>
          <w:rFonts w:cs="Calibri" w:cstheme="minorHAnsi"/>
        </w:rPr>
      </w:pPr>
      <w:r>
        <w:rPr>
          <w:rFonts w:cs="Calibri" w:cstheme="minorHAnsi"/>
        </w:rPr>
        <w:t>liczba zarejestrowanych Ataków,</w:t>
      </w:r>
    </w:p>
    <w:p>
      <w:pPr>
        <w:pStyle w:val="Normal"/>
        <w:numPr>
          <w:ilvl w:val="2"/>
          <w:numId w:val="2"/>
        </w:numPr>
        <w:spacing w:lineRule="auto" w:line="259" w:before="60" w:after="60"/>
        <w:ind w:hanging="360" w:start="1071"/>
        <w:jc w:val="both"/>
        <w:rPr>
          <w:rFonts w:cs="Calibri" w:cstheme="minorHAnsi"/>
        </w:rPr>
      </w:pPr>
      <w:r>
        <w:rPr>
          <w:rFonts w:cs="Calibri" w:cstheme="minorHAnsi"/>
        </w:rPr>
        <w:t>liczba usuniętych Ataków.</w:t>
      </w:r>
    </w:p>
    <w:p>
      <w:pPr>
        <w:pStyle w:val="Normal"/>
        <w:numPr>
          <w:ilvl w:val="0"/>
          <w:numId w:val="2"/>
        </w:numPr>
        <w:spacing w:lineRule="auto" w:line="259" w:before="60" w:after="60"/>
        <w:ind w:hanging="360" w:start="357"/>
        <w:jc w:val="both"/>
        <w:rPr>
          <w:rFonts w:cs="Calibri" w:cstheme="minorHAnsi"/>
          <w:b/>
        </w:rPr>
      </w:pPr>
      <w:r>
        <w:rPr>
          <w:rFonts w:cs="Calibri" w:cstheme="minorHAnsi"/>
          <w:b/>
        </w:rPr>
        <w:t>Raport z incydentu</w:t>
      </w:r>
    </w:p>
    <w:p>
      <w:pPr>
        <w:pStyle w:val="Normal"/>
        <w:spacing w:lineRule="auto" w:line="259" w:before="60" w:after="60"/>
        <w:ind w:start="357"/>
        <w:jc w:val="both"/>
        <w:rPr>
          <w:rFonts w:cs="Calibri" w:cstheme="minorHAnsi"/>
        </w:rPr>
      </w:pPr>
      <w:r>
        <w:rPr>
          <w:rFonts w:cs="Calibri" w:cstheme="minorHAnsi"/>
        </w:rPr>
        <w:t xml:space="preserve">Zamawiający wymaga każdorazowo po zakończeniu operacji oczyszczania ruchu po zaistniałym Ataku sporządzenia raportu z incydentu. Sposób inicjowania oraz zakończenia procedury zostanie uzgodniony z Zamawiającym w terminie 5 dni od zawarcia Umowy. Informacja w raporcie </w:t>
        <w:br/>
        <w:t>o incydencie zawierać będzie co najmniej następujące statystyki:</w:t>
      </w:r>
    </w:p>
    <w:p>
      <w:pPr>
        <w:pStyle w:val="Normal"/>
        <w:numPr>
          <w:ilvl w:val="2"/>
          <w:numId w:val="2"/>
        </w:numPr>
        <w:spacing w:lineRule="auto" w:line="259" w:before="60" w:after="60"/>
        <w:ind w:hanging="360" w:start="1071"/>
        <w:jc w:val="both"/>
        <w:rPr>
          <w:rFonts w:cs="Calibri" w:cstheme="minorHAnsi"/>
        </w:rPr>
      </w:pPr>
      <w:r>
        <w:rPr>
          <w:rFonts w:cs="Calibri" w:cstheme="minorHAnsi"/>
        </w:rPr>
        <w:t>rozmiar Ataku, liczniki pakietów, Gb/s oraz procent całości ruchu,</w:t>
      </w:r>
    </w:p>
    <w:p>
      <w:pPr>
        <w:pStyle w:val="Normal"/>
        <w:numPr>
          <w:ilvl w:val="2"/>
          <w:numId w:val="2"/>
        </w:numPr>
        <w:spacing w:lineRule="auto" w:line="259" w:before="60" w:after="60"/>
        <w:ind w:hanging="360" w:start="1071"/>
        <w:jc w:val="both"/>
        <w:rPr>
          <w:rFonts w:cs="Calibri" w:cstheme="minorHAnsi"/>
        </w:rPr>
      </w:pPr>
      <w:r>
        <w:rPr>
          <w:rFonts w:cs="Calibri" w:cstheme="minorHAnsi"/>
        </w:rPr>
        <w:t>czas trwania Ataku,</w:t>
      </w:r>
    </w:p>
    <w:p>
      <w:pPr>
        <w:pStyle w:val="Normal"/>
        <w:numPr>
          <w:ilvl w:val="2"/>
          <w:numId w:val="2"/>
        </w:numPr>
        <w:spacing w:lineRule="auto" w:line="259" w:before="60" w:after="60"/>
        <w:ind w:hanging="360" w:start="1071"/>
        <w:jc w:val="both"/>
        <w:rPr>
          <w:rFonts w:cs="Calibri" w:cstheme="minorHAnsi"/>
        </w:rPr>
      </w:pPr>
      <w:r>
        <w:rPr>
          <w:rFonts w:cs="Calibri" w:cstheme="minorHAnsi"/>
        </w:rPr>
        <w:t>główne źródła Ataku,</w:t>
      </w:r>
    </w:p>
    <w:p>
      <w:pPr>
        <w:pStyle w:val="Normal"/>
        <w:numPr>
          <w:ilvl w:val="2"/>
          <w:numId w:val="2"/>
        </w:numPr>
        <w:spacing w:lineRule="auto" w:line="259" w:before="60" w:after="60"/>
        <w:ind w:hanging="360" w:start="1071"/>
        <w:jc w:val="both"/>
        <w:rPr>
          <w:rFonts w:cs="Calibri" w:cstheme="minorHAnsi"/>
        </w:rPr>
      </w:pPr>
      <w:r>
        <w:rPr>
          <w:rFonts w:cs="Calibri" w:cstheme="minorHAnsi"/>
        </w:rPr>
        <w:t>typ i natura Ataku,</w:t>
      </w:r>
    </w:p>
    <w:p>
      <w:pPr>
        <w:pStyle w:val="Normal"/>
        <w:numPr>
          <w:ilvl w:val="2"/>
          <w:numId w:val="2"/>
        </w:numPr>
        <w:spacing w:lineRule="auto" w:line="259" w:before="60" w:after="60"/>
        <w:ind w:hanging="360" w:start="1071"/>
        <w:jc w:val="both"/>
        <w:rPr>
          <w:rFonts w:cs="Calibri" w:cstheme="minorHAnsi"/>
        </w:rPr>
      </w:pPr>
      <w:r>
        <w:rPr>
          <w:rFonts w:cs="Calibri" w:cstheme="minorHAnsi"/>
        </w:rPr>
        <w:t>wdrożone metody eliminacji Ataku,</w:t>
      </w:r>
    </w:p>
    <w:p>
      <w:pPr>
        <w:pStyle w:val="Normal"/>
        <w:numPr>
          <w:ilvl w:val="2"/>
          <w:numId w:val="2"/>
        </w:numPr>
        <w:spacing w:lineRule="auto" w:line="259" w:before="60" w:after="60"/>
        <w:ind w:hanging="360" w:start="1071"/>
        <w:jc w:val="both"/>
        <w:rPr>
          <w:rFonts w:cs="Calibri" w:cstheme="minorHAnsi"/>
        </w:rPr>
      </w:pPr>
      <w:r>
        <w:rPr>
          <w:rFonts w:cs="Calibri" w:cstheme="minorHAnsi"/>
        </w:rPr>
        <w:t>geograficzna lokalizacja źródeł Ataku,</w:t>
      </w:r>
    </w:p>
    <w:p>
      <w:pPr>
        <w:pStyle w:val="Normal"/>
        <w:numPr>
          <w:ilvl w:val="2"/>
          <w:numId w:val="2"/>
        </w:numPr>
        <w:spacing w:lineRule="auto" w:line="259" w:before="60" w:after="60"/>
        <w:ind w:hanging="360" w:start="1071"/>
        <w:jc w:val="both"/>
        <w:rPr>
          <w:rFonts w:cs="Calibri" w:cstheme="minorHAnsi"/>
        </w:rPr>
      </w:pPr>
      <w:r>
        <w:rPr>
          <w:rFonts w:cs="Calibri" w:cstheme="minorHAnsi"/>
        </w:rPr>
        <w:t>wielkość oczyszczonego ruchu,</w:t>
      </w:r>
    </w:p>
    <w:p>
      <w:pPr>
        <w:pStyle w:val="Normal"/>
        <w:numPr>
          <w:ilvl w:val="2"/>
          <w:numId w:val="2"/>
        </w:numPr>
        <w:spacing w:lineRule="auto" w:line="259" w:before="60" w:after="60"/>
        <w:ind w:hanging="360" w:start="1071"/>
        <w:jc w:val="both"/>
        <w:rPr>
          <w:rFonts w:cs="Calibri" w:cstheme="minorHAnsi"/>
        </w:rPr>
      </w:pPr>
      <w:r>
        <w:rPr>
          <w:rFonts w:cs="Calibri" w:cstheme="minorHAnsi"/>
        </w:rPr>
        <w:t xml:space="preserve">czasy – w szczególności: początek Ataku, powiadomienie, wdrożenie procedur obronnych, zakończenie Ataku, przywrócenie normalnej pracy sieci. </w:t>
      </w:r>
    </w:p>
    <w:p>
      <w:pPr>
        <w:pStyle w:val="Normal"/>
        <w:numPr>
          <w:ilvl w:val="0"/>
          <w:numId w:val="2"/>
        </w:numPr>
        <w:spacing w:lineRule="auto" w:line="259" w:before="60" w:after="60"/>
        <w:ind w:hanging="360" w:start="357"/>
        <w:jc w:val="both"/>
        <w:rPr>
          <w:rFonts w:cs="Calibri" w:cstheme="minorHAnsi"/>
          <w:b/>
        </w:rPr>
      </w:pPr>
      <w:r>
        <w:rPr>
          <w:rFonts w:cs="Calibri" w:cstheme="minorHAnsi"/>
          <w:b/>
        </w:rPr>
        <w:t xml:space="preserve">Czas świadczenia Usługi </w:t>
      </w:r>
    </w:p>
    <w:p>
      <w:pPr>
        <w:pStyle w:val="Normal"/>
        <w:spacing w:lineRule="auto" w:line="259" w:before="60" w:after="60"/>
        <w:ind w:start="357"/>
        <w:jc w:val="both"/>
        <w:rPr>
          <w:rFonts w:cs="Calibri" w:cstheme="minorHAnsi"/>
        </w:rPr>
      </w:pPr>
      <w:r>
        <w:rPr>
          <w:rFonts w:cs="Calibri" w:cstheme="minorHAnsi"/>
        </w:rPr>
        <w:t>Zamawiający wymaga świadczenia usługi ochrony przed DDoS w trybie 24/7/365 (24/7/366 w roku przestępnym).</w:t>
      </w:r>
    </w:p>
    <w:p>
      <w:pPr>
        <w:pStyle w:val="Normal"/>
        <w:numPr>
          <w:ilvl w:val="0"/>
          <w:numId w:val="2"/>
        </w:numPr>
        <w:spacing w:lineRule="auto" w:line="259" w:before="60" w:after="60"/>
        <w:ind w:hanging="360" w:start="357"/>
        <w:jc w:val="both"/>
        <w:rPr>
          <w:rFonts w:cs="Calibri" w:cstheme="minorHAnsi"/>
          <w:b/>
        </w:rPr>
      </w:pPr>
      <w:r>
        <w:rPr>
          <w:rFonts w:cs="Calibri" w:cstheme="minorHAnsi"/>
          <w:b/>
        </w:rPr>
        <w:t xml:space="preserve">Procedura przerwania mitygacji – Fall-back Procedure </w:t>
      </w:r>
    </w:p>
    <w:p>
      <w:pPr>
        <w:pStyle w:val="Normal"/>
        <w:spacing w:lineRule="auto" w:line="259" w:before="60" w:after="60"/>
        <w:ind w:start="357"/>
        <w:jc w:val="both"/>
        <w:rPr>
          <w:rFonts w:cs="Calibri" w:cstheme="minorHAnsi"/>
        </w:rPr>
      </w:pPr>
      <w:r>
        <w:rPr>
          <w:rFonts w:cs="Calibri" w:cstheme="minorHAnsi"/>
        </w:rPr>
        <w:t>Jeśli uruchomiona procedura eliminacji Ataków DDoS ma negatywny wpływ na chronione zasoby lub usługi, Zamawiający ma możliwość zlecenia jej przerwania, co następuje w ciągu 15 minut od momentu zlecenia przez Zamawiającego (godzina, minuta). Pomimo przerwania akcji, ruch Zamawiającego cały czas podlega monitorowaniu i istnieje możliwość przywrócenia procedur obronnych w odpowiednio dostosowanym zakresie i analogicznym czasie wdrożenia.</w:t>
      </w:r>
    </w:p>
    <w:p>
      <w:pPr>
        <w:pStyle w:val="Normal"/>
        <w:numPr>
          <w:ilvl w:val="0"/>
          <w:numId w:val="2"/>
        </w:numPr>
        <w:spacing w:lineRule="auto" w:line="259" w:before="60" w:after="60"/>
        <w:ind w:hanging="360" w:start="357"/>
        <w:jc w:val="both"/>
        <w:rPr>
          <w:rFonts w:cs="Calibri" w:cstheme="minorHAnsi"/>
          <w:b/>
        </w:rPr>
      </w:pPr>
      <w:r>
        <w:rPr>
          <w:rFonts w:cs="Calibri" w:cstheme="minorHAnsi"/>
          <w:b/>
        </w:rPr>
        <w:t>Alarmy i sposób powiadamiania Zamawiającego:</w:t>
      </w:r>
    </w:p>
    <w:p>
      <w:pPr>
        <w:pStyle w:val="Normal"/>
        <w:spacing w:lineRule="auto" w:line="259" w:before="60" w:after="60"/>
        <w:ind w:start="357"/>
        <w:jc w:val="both"/>
        <w:rPr>
          <w:rFonts w:cs="Calibri" w:cstheme="minorHAnsi"/>
        </w:rPr>
      </w:pPr>
      <w:r>
        <w:rPr>
          <w:rFonts w:cs="Calibri" w:cstheme="minorHAnsi"/>
        </w:rPr>
        <w:t xml:space="preserve">Wykryte w ramach realizacji Usługi zdarzenia zostaną przyporządkowane do jednej z niżej opisanych przykładowych grup alarmów: </w:t>
      </w:r>
    </w:p>
    <w:tbl>
      <w:tblPr>
        <w:tblStyle w:val="TableGrid"/>
        <w:tblW w:w="9062" w:type="dxa"/>
        <w:jc w:val="start"/>
        <w:tblInd w:w="5" w:type="dxa"/>
        <w:tblLayout w:type="fixed"/>
        <w:tblCellMar>
          <w:top w:w="63" w:type="dxa"/>
          <w:start w:w="108" w:type="dxa"/>
          <w:bottom w:w="0" w:type="dxa"/>
          <w:end w:w="54" w:type="dxa"/>
        </w:tblCellMar>
        <w:tblLook w:val="04a0" w:firstRow="1" w:noVBand="1" w:lastRow="0" w:firstColumn="1" w:lastColumn="0" w:noHBand="0"/>
      </w:tblPr>
      <w:tblGrid>
        <w:gridCol w:w="2096"/>
        <w:gridCol w:w="1910"/>
        <w:gridCol w:w="2835"/>
        <w:gridCol w:w="2221"/>
      </w:tblGrid>
      <w:tr>
        <w:trPr>
          <w:trHeight w:val="424" w:hRule="atLeast"/>
        </w:trPr>
        <w:tc>
          <w:tcPr>
            <w:tcW w:w="2096"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Kategoria alarmu</w:t>
            </w:r>
          </w:p>
        </w:tc>
        <w:tc>
          <w:tcPr>
            <w:tcW w:w="1910"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ind w:end="55"/>
              <w:jc w:val="both"/>
              <w:rPr>
                <w:rFonts w:cs="Calibri" w:cstheme="minorHAnsi"/>
                <w:sz w:val="22"/>
                <w:szCs w:val="22"/>
              </w:rPr>
            </w:pPr>
            <w:r>
              <w:rPr>
                <w:rFonts w:eastAsia="" w:cs="Calibri" w:cstheme="minorHAnsi"/>
                <w:kern w:val="2"/>
                <w:sz w:val="22"/>
                <w:szCs w:val="22"/>
                <w:lang w:val="pl-PL" w:eastAsia="pl-PL" w:bidi="ar-SA"/>
              </w:rPr>
              <w:t>Opis</w:t>
            </w:r>
          </w:p>
        </w:tc>
        <w:tc>
          <w:tcPr>
            <w:tcW w:w="283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ind w:end="57"/>
              <w:jc w:val="both"/>
              <w:rPr>
                <w:rFonts w:cs="Calibri" w:cstheme="minorHAnsi"/>
                <w:sz w:val="22"/>
                <w:szCs w:val="22"/>
              </w:rPr>
            </w:pPr>
            <w:r>
              <w:rPr>
                <w:rFonts w:eastAsia="" w:cs="Calibri" w:cstheme="minorHAnsi"/>
                <w:kern w:val="2"/>
                <w:sz w:val="22"/>
                <w:szCs w:val="22"/>
                <w:lang w:val="pl-PL" w:eastAsia="pl-PL" w:bidi="ar-SA"/>
              </w:rPr>
              <w:t>Akcja / Czas reakcji</w:t>
            </w:r>
          </w:p>
        </w:tc>
        <w:tc>
          <w:tcPr>
            <w:tcW w:w="2221"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ind w:end="55"/>
              <w:jc w:val="both"/>
              <w:rPr>
                <w:rFonts w:cs="Calibri" w:cstheme="minorHAnsi"/>
                <w:sz w:val="22"/>
                <w:szCs w:val="22"/>
              </w:rPr>
            </w:pPr>
            <w:r>
              <w:rPr>
                <w:rFonts w:eastAsia="" w:cs="Calibri" w:cstheme="minorHAnsi"/>
                <w:kern w:val="2"/>
                <w:sz w:val="22"/>
                <w:szCs w:val="22"/>
                <w:lang w:val="pl-PL" w:eastAsia="pl-PL" w:bidi="ar-SA"/>
              </w:rPr>
              <w:t>Przykład</w:t>
            </w:r>
          </w:p>
        </w:tc>
      </w:tr>
      <w:tr>
        <w:trPr>
          <w:trHeight w:val="3451" w:hRule="atLeast"/>
        </w:trPr>
        <w:tc>
          <w:tcPr>
            <w:tcW w:w="2096"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KRYTYCZNA </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(Servity High)</w:t>
            </w:r>
          </w:p>
        </w:tc>
        <w:tc>
          <w:tcPr>
            <w:tcW w:w="1910"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Alarm o największym stopniu </w:t>
            </w:r>
          </w:p>
          <w:p>
            <w:pPr>
              <w:pStyle w:val="Normal"/>
              <w:widowControl/>
              <w:spacing w:lineRule="auto" w:line="259" w:before="60" w:after="60"/>
              <w:ind w:end="56"/>
              <w:jc w:val="both"/>
              <w:rPr>
                <w:rFonts w:cs="Calibri" w:cstheme="minorHAnsi"/>
                <w:sz w:val="22"/>
                <w:szCs w:val="22"/>
              </w:rPr>
            </w:pPr>
            <w:r>
              <w:rPr>
                <w:rFonts w:eastAsia="" w:cs="Calibri" w:cstheme="minorHAnsi"/>
                <w:kern w:val="2"/>
                <w:sz w:val="22"/>
                <w:szCs w:val="22"/>
                <w:lang w:val="pl-PL" w:eastAsia="pl-PL" w:bidi="ar-SA"/>
              </w:rPr>
              <w:t xml:space="preserve">zagrożenia dla </w:t>
            </w:r>
          </w:p>
          <w:p>
            <w:pPr>
              <w:pStyle w:val="Normal"/>
              <w:widowControl/>
              <w:spacing w:lineRule="auto" w:line="259" w:before="60" w:after="60"/>
              <w:ind w:start="57"/>
              <w:jc w:val="both"/>
              <w:rPr>
                <w:rFonts w:cs="Calibri" w:cstheme="minorHAnsi"/>
                <w:sz w:val="22"/>
                <w:szCs w:val="22"/>
              </w:rPr>
            </w:pPr>
            <w:r>
              <w:rPr>
                <w:rFonts w:eastAsia="" w:cs="Calibri" w:cstheme="minorHAnsi"/>
                <w:kern w:val="2"/>
                <w:sz w:val="22"/>
                <w:szCs w:val="22"/>
                <w:lang w:val="pl-PL" w:eastAsia="pl-PL" w:bidi="ar-SA"/>
              </w:rPr>
              <w:t>Zamawiającego.</w:t>
            </w:r>
          </w:p>
        </w:tc>
        <w:tc>
          <w:tcPr>
            <w:tcW w:w="283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Automatyczne rozpoczęcie akcji oczyszczania w </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sytuacjach uzgodnionych </w:t>
              <w:br/>
              <w:t>z Zamawiającym.</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Przystąpienie do rozwiązywania problemu przez Wykonawcę.</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Do Zamawiającego zostanie wysłane </w:t>
            </w:r>
          </w:p>
          <w:p>
            <w:pPr>
              <w:pStyle w:val="Normal"/>
              <w:widowControl/>
              <w:spacing w:lineRule="auto" w:line="259" w:before="60" w:after="60"/>
              <w:ind w:end="54"/>
              <w:jc w:val="both"/>
              <w:rPr>
                <w:rFonts w:cs="Calibri" w:cstheme="minorHAnsi"/>
                <w:sz w:val="22"/>
                <w:szCs w:val="22"/>
              </w:rPr>
            </w:pPr>
            <w:r>
              <w:rPr>
                <w:rFonts w:eastAsia="" w:cs="Calibri" w:cstheme="minorHAnsi"/>
                <w:kern w:val="2"/>
                <w:sz w:val="22"/>
                <w:szCs w:val="22"/>
                <w:lang w:val="pl-PL" w:eastAsia="pl-PL" w:bidi="ar-SA"/>
              </w:rPr>
              <w:t xml:space="preserve">powiadomienie o </w:t>
            </w:r>
          </w:p>
          <w:p>
            <w:pPr>
              <w:pStyle w:val="Normal"/>
              <w:widowControl/>
              <w:spacing w:lineRule="auto" w:line="259" w:before="60" w:after="60"/>
              <w:ind w:start="17" w:end="13"/>
              <w:jc w:val="both"/>
              <w:rPr>
                <w:rFonts w:cs="Calibri" w:cstheme="minorHAnsi"/>
                <w:sz w:val="22"/>
                <w:szCs w:val="22"/>
              </w:rPr>
            </w:pPr>
            <w:r>
              <w:rPr>
                <w:rFonts w:eastAsia="" w:cs="Calibri" w:cstheme="minorHAnsi"/>
                <w:kern w:val="2"/>
                <w:sz w:val="22"/>
                <w:szCs w:val="22"/>
                <w:lang w:val="pl-PL" w:eastAsia="pl-PL" w:bidi="ar-SA"/>
              </w:rPr>
              <w:t>zaistnieniu potencjalnego Ataku DDoS w czasie zdefiniowanym przez SLA.</w:t>
            </w:r>
          </w:p>
        </w:tc>
        <w:tc>
          <w:tcPr>
            <w:tcW w:w="2221"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Alarmy w tej kategorii zawierają m. in.:</w:t>
            </w:r>
          </w:p>
          <w:p>
            <w:pPr>
              <w:pStyle w:val="Normal"/>
              <w:widowControl/>
              <w:numPr>
                <w:ilvl w:val="0"/>
                <w:numId w:val="5"/>
              </w:numPr>
              <w:spacing w:lineRule="auto" w:line="259" w:before="60" w:after="60"/>
              <w:ind w:hanging="360" w:start="360" w:end="60"/>
              <w:jc w:val="both"/>
              <w:rPr>
                <w:rFonts w:cs="Calibri" w:cstheme="minorHAnsi"/>
                <w:sz w:val="22"/>
                <w:szCs w:val="22"/>
              </w:rPr>
            </w:pPr>
            <w:r>
              <w:rPr>
                <w:rFonts w:eastAsia="" w:cs="Calibri" w:cstheme="minorHAnsi"/>
                <w:kern w:val="2"/>
                <w:sz w:val="22"/>
                <w:szCs w:val="22"/>
                <w:lang w:val="pl-PL" w:eastAsia="pl-PL" w:bidi="ar-SA"/>
              </w:rPr>
              <w:t xml:space="preserve">potencjalne ataki </w:t>
            </w:r>
          </w:p>
          <w:p>
            <w:pPr>
              <w:pStyle w:val="Normal"/>
              <w:widowControl/>
              <w:spacing w:lineRule="auto" w:line="259" w:before="60" w:after="60"/>
              <w:ind w:start="360"/>
              <w:jc w:val="both"/>
              <w:rPr>
                <w:rFonts w:cs="Calibri" w:cstheme="minorHAnsi"/>
                <w:sz w:val="22"/>
                <w:szCs w:val="22"/>
              </w:rPr>
            </w:pPr>
            <w:r>
              <w:rPr>
                <w:rFonts w:eastAsia="" w:cs="Calibri" w:cstheme="minorHAnsi"/>
                <w:kern w:val="2"/>
                <w:sz w:val="22"/>
                <w:szCs w:val="22"/>
                <w:lang w:val="pl-PL" w:eastAsia="pl-PL" w:bidi="ar-SA"/>
              </w:rPr>
              <w:t>DDoS,</w:t>
            </w:r>
          </w:p>
          <w:p>
            <w:pPr>
              <w:pStyle w:val="Normal"/>
              <w:widowControl/>
              <w:numPr>
                <w:ilvl w:val="0"/>
                <w:numId w:val="5"/>
              </w:numPr>
              <w:spacing w:lineRule="auto" w:line="259" w:before="60" w:after="60"/>
              <w:ind w:hanging="360" w:start="360" w:end="60"/>
              <w:jc w:val="both"/>
              <w:rPr>
                <w:rFonts w:cs="Calibri" w:cstheme="minorHAnsi"/>
                <w:sz w:val="22"/>
                <w:szCs w:val="22"/>
              </w:rPr>
            </w:pPr>
            <w:r>
              <w:rPr>
                <w:rFonts w:eastAsia="" w:cs="Calibri" w:cstheme="minorHAnsi"/>
                <w:kern w:val="2"/>
                <w:sz w:val="22"/>
                <w:szCs w:val="22"/>
                <w:lang w:val="pl-PL" w:eastAsia="pl-PL" w:bidi="ar-SA"/>
              </w:rPr>
              <w:t xml:space="preserve">utratę komunikacji </w:t>
              <w:br/>
              <w:t>z monitorowanym i zasobami,</w:t>
            </w:r>
          </w:p>
          <w:p>
            <w:pPr>
              <w:pStyle w:val="Normal"/>
              <w:widowControl/>
              <w:numPr>
                <w:ilvl w:val="0"/>
                <w:numId w:val="5"/>
              </w:numPr>
              <w:spacing w:lineRule="auto" w:line="259" w:before="60" w:after="60"/>
              <w:ind w:hanging="360" w:start="360" w:end="60"/>
              <w:jc w:val="both"/>
              <w:rPr>
                <w:rFonts w:cs="Calibri" w:cstheme="minorHAnsi"/>
                <w:sz w:val="22"/>
                <w:szCs w:val="22"/>
              </w:rPr>
            </w:pPr>
            <w:r>
              <w:rPr>
                <w:rFonts w:eastAsia="" w:cs="Calibri" w:cstheme="minorHAnsi"/>
                <w:kern w:val="2"/>
                <w:sz w:val="22"/>
                <w:szCs w:val="22"/>
                <w:lang w:val="pl-PL" w:eastAsia="pl-PL" w:bidi="ar-SA"/>
              </w:rPr>
              <w:t>inne alarmy - po uzyskaniu zgody Zamawiającego .</w:t>
            </w:r>
          </w:p>
        </w:tc>
      </w:tr>
      <w:tr>
        <w:trPr>
          <w:trHeight w:val="2269" w:hRule="atLeast"/>
        </w:trPr>
        <w:tc>
          <w:tcPr>
            <w:tcW w:w="2096" w:type="dxa"/>
            <w:tcBorders>
              <w:top w:val="single" w:sz="4" w:space="0" w:color="000000"/>
              <w:start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WAŻNA</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(Servity Medium)</w:t>
            </w:r>
          </w:p>
        </w:tc>
        <w:tc>
          <w:tcPr>
            <w:tcW w:w="1910" w:type="dxa"/>
            <w:tcBorders>
              <w:top w:val="single" w:sz="4" w:space="0" w:color="000000"/>
              <w:start w:val="single" w:sz="4" w:space="0" w:color="000000"/>
              <w:end w:val="single" w:sz="4" w:space="0" w:color="000000"/>
            </w:tcBorders>
          </w:tcPr>
          <w:p>
            <w:pPr>
              <w:pStyle w:val="Normal"/>
              <w:widowControl/>
              <w:spacing w:lineRule="auto" w:line="259" w:before="60" w:after="60"/>
              <w:ind w:hanging="12" w:start="12"/>
              <w:jc w:val="both"/>
              <w:rPr>
                <w:rFonts w:cs="Calibri" w:cstheme="minorHAnsi"/>
                <w:sz w:val="22"/>
                <w:szCs w:val="22"/>
              </w:rPr>
            </w:pPr>
            <w:r>
              <w:rPr>
                <w:rFonts w:eastAsia="" w:cs="Calibri" w:cstheme="minorHAnsi"/>
                <w:kern w:val="2"/>
                <w:sz w:val="22"/>
                <w:szCs w:val="22"/>
                <w:lang w:val="pl-PL" w:eastAsia="pl-PL" w:bidi="ar-SA"/>
              </w:rPr>
              <w:t xml:space="preserve">Alarm, który w późniejszym czasie może </w:t>
            </w:r>
          </w:p>
          <w:p>
            <w:pPr>
              <w:pStyle w:val="Normal"/>
              <w:widowControl/>
              <w:spacing w:lineRule="auto" w:line="259" w:before="60" w:after="60"/>
              <w:ind w:start="17" w:end="13"/>
              <w:jc w:val="both"/>
              <w:rPr>
                <w:rFonts w:cs="Calibri" w:cstheme="minorHAnsi"/>
                <w:sz w:val="22"/>
                <w:szCs w:val="22"/>
              </w:rPr>
            </w:pPr>
            <w:r>
              <w:rPr>
                <w:rFonts w:eastAsia="" w:cs="Calibri" w:cstheme="minorHAnsi"/>
                <w:kern w:val="2"/>
                <w:sz w:val="22"/>
                <w:szCs w:val="22"/>
                <w:lang w:val="pl-PL" w:eastAsia="pl-PL" w:bidi="ar-SA"/>
              </w:rPr>
              <w:t xml:space="preserve">wymagać akcji ze strony </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Wykonawcy lub Zamawiającego.</w:t>
            </w:r>
          </w:p>
        </w:tc>
        <w:tc>
          <w:tcPr>
            <w:tcW w:w="2835" w:type="dxa"/>
            <w:tcBorders>
              <w:top w:val="single" w:sz="4" w:space="0" w:color="000000"/>
              <w:start w:val="single" w:sz="4" w:space="0" w:color="000000"/>
              <w:end w:val="single" w:sz="4" w:space="0" w:color="000000"/>
            </w:tcBorders>
          </w:tcPr>
          <w:p>
            <w:pPr>
              <w:pStyle w:val="Normal"/>
              <w:widowControl/>
              <w:spacing w:lineRule="auto" w:line="259" w:before="60" w:after="60"/>
              <w:ind w:hanging="56" w:start="56"/>
              <w:jc w:val="both"/>
              <w:rPr>
                <w:rFonts w:cs="Calibri" w:cstheme="minorHAnsi"/>
                <w:sz w:val="22"/>
                <w:szCs w:val="22"/>
              </w:rPr>
            </w:pPr>
            <w:r>
              <w:rPr>
                <w:rFonts w:eastAsia="" w:cs="Calibri" w:cstheme="minorHAnsi"/>
                <w:kern w:val="2"/>
                <w:sz w:val="22"/>
                <w:szCs w:val="22"/>
                <w:lang w:val="pl-PL" w:eastAsia="pl-PL" w:bidi="ar-SA"/>
              </w:rPr>
              <w:t>Podjęcie działań, jeśli to konieczne, ze strony Wykonawcy lub Zamawiającego.</w:t>
            </w:r>
          </w:p>
          <w:p>
            <w:pPr>
              <w:pStyle w:val="Normal"/>
              <w:widowControl/>
              <w:spacing w:lineRule="auto" w:line="259" w:before="60" w:after="60"/>
              <w:ind w:end="55"/>
              <w:jc w:val="both"/>
              <w:rPr>
                <w:rFonts w:cs="Calibri" w:cstheme="minorHAnsi"/>
                <w:sz w:val="22"/>
                <w:szCs w:val="22"/>
              </w:rPr>
            </w:pPr>
            <w:r>
              <w:rPr>
                <w:rFonts w:eastAsia="" w:cs="Calibri" w:cstheme="minorHAnsi"/>
                <w:kern w:val="2"/>
                <w:sz w:val="22"/>
                <w:szCs w:val="22"/>
                <w:lang w:val="pl-PL" w:eastAsia="pl-PL" w:bidi="ar-SA"/>
              </w:rPr>
              <w:t xml:space="preserve">Informowanie </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Zamawiającego o zaistniałej sytuacji.</w:t>
            </w:r>
          </w:p>
        </w:tc>
        <w:tc>
          <w:tcPr>
            <w:tcW w:w="2221" w:type="dxa"/>
            <w:tcBorders>
              <w:top w:val="single" w:sz="4" w:space="0" w:color="000000"/>
              <w:start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Informacje na temat ruchu niezwiązane </w:t>
              <w:br/>
              <w:t>z wystąpieniem nieprawidłowości.</w:t>
            </w:r>
          </w:p>
        </w:tc>
      </w:tr>
      <w:tr>
        <w:trPr>
          <w:trHeight w:val="1251" w:hRule="atLeast"/>
        </w:trPr>
        <w:tc>
          <w:tcPr>
            <w:tcW w:w="2096"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INFORMACYJNA</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(Servity Low)</w:t>
            </w:r>
          </w:p>
        </w:tc>
        <w:tc>
          <w:tcPr>
            <w:tcW w:w="1910"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Zapis informacji o Ataku.</w:t>
            </w:r>
          </w:p>
        </w:tc>
        <w:tc>
          <w:tcPr>
            <w:tcW w:w="283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ind w:end="15"/>
              <w:jc w:val="both"/>
              <w:rPr>
                <w:rFonts w:cs="Calibri" w:cstheme="minorHAnsi"/>
                <w:sz w:val="22"/>
                <w:szCs w:val="22"/>
              </w:rPr>
            </w:pPr>
            <w:r>
              <w:rPr>
                <w:rFonts w:eastAsia="" w:cs="Calibri" w:cstheme="minorHAnsi"/>
                <w:kern w:val="2"/>
                <w:sz w:val="22"/>
                <w:szCs w:val="22"/>
                <w:lang w:val="pl-PL" w:eastAsia="pl-PL" w:bidi="ar-SA"/>
              </w:rPr>
              <w:t>Brak działania.</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Brak konieczności informowania </w:t>
            </w:r>
          </w:p>
          <w:p>
            <w:pPr>
              <w:pStyle w:val="Normal"/>
              <w:widowControl/>
              <w:spacing w:lineRule="auto" w:line="259" w:before="60" w:after="60"/>
              <w:ind w:end="16"/>
              <w:jc w:val="both"/>
              <w:rPr>
                <w:rFonts w:cs="Calibri" w:cstheme="minorHAnsi"/>
                <w:sz w:val="22"/>
                <w:szCs w:val="22"/>
              </w:rPr>
            </w:pPr>
            <w:r>
              <w:rPr>
                <w:rFonts w:eastAsia="" w:cs="Calibri" w:cstheme="minorHAnsi"/>
                <w:kern w:val="2"/>
                <w:sz w:val="22"/>
                <w:szCs w:val="22"/>
                <w:lang w:val="pl-PL" w:eastAsia="pl-PL" w:bidi="ar-SA"/>
              </w:rPr>
              <w:t>Zamawiającego.</w:t>
            </w:r>
          </w:p>
        </w:tc>
        <w:tc>
          <w:tcPr>
            <w:tcW w:w="2221"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 xml:space="preserve">Zdarzenia związane </w:t>
              <w:br/>
              <w:t xml:space="preserve">z działaniami </w:t>
            </w:r>
          </w:p>
          <w:p>
            <w:pPr>
              <w:pStyle w:val="Normal"/>
              <w:widowControl/>
              <w:spacing w:lineRule="auto" w:line="259" w:before="60" w:after="60"/>
              <w:ind w:end="14"/>
              <w:jc w:val="both"/>
              <w:rPr>
                <w:rFonts w:cs="Calibri" w:cstheme="minorHAnsi"/>
                <w:sz w:val="22"/>
                <w:szCs w:val="22"/>
              </w:rPr>
            </w:pPr>
            <w:r>
              <w:rPr>
                <w:rFonts w:eastAsia="" w:cs="Calibri" w:cstheme="minorHAnsi"/>
                <w:kern w:val="2"/>
                <w:sz w:val="22"/>
                <w:szCs w:val="22"/>
                <w:lang w:val="pl-PL" w:eastAsia="pl-PL" w:bidi="ar-SA"/>
              </w:rPr>
              <w:t xml:space="preserve">systemu lub jego </w:t>
            </w:r>
          </w:p>
          <w:p>
            <w:pPr>
              <w:pStyle w:val="Normal"/>
              <w:widowControl/>
              <w:spacing w:lineRule="auto" w:line="259" w:before="60" w:after="60"/>
              <w:ind w:end="15"/>
              <w:jc w:val="both"/>
              <w:rPr>
                <w:rFonts w:cs="Calibri" w:cstheme="minorHAnsi"/>
                <w:sz w:val="22"/>
                <w:szCs w:val="22"/>
              </w:rPr>
            </w:pPr>
            <w:r>
              <w:rPr>
                <w:rFonts w:eastAsia="" w:cs="Calibri" w:cstheme="minorHAnsi"/>
                <w:kern w:val="2"/>
                <w:sz w:val="22"/>
                <w:szCs w:val="22"/>
                <w:lang w:val="pl-PL" w:eastAsia="pl-PL" w:bidi="ar-SA"/>
              </w:rPr>
              <w:t xml:space="preserve">rekonfiguracją, np. </w:t>
            </w:r>
          </w:p>
          <w:p>
            <w:pPr>
              <w:pStyle w:val="Normal"/>
              <w:widowControl/>
              <w:spacing w:lineRule="auto" w:line="259" w:before="60" w:after="60"/>
              <w:jc w:val="both"/>
              <w:rPr>
                <w:rFonts w:cs="Calibri" w:cstheme="minorHAnsi"/>
                <w:sz w:val="22"/>
                <w:szCs w:val="22"/>
              </w:rPr>
            </w:pPr>
            <w:r>
              <w:rPr>
                <w:rFonts w:eastAsia="" w:cs="Calibri" w:cstheme="minorHAnsi"/>
                <w:kern w:val="2"/>
                <w:sz w:val="22"/>
                <w:szCs w:val="22"/>
                <w:lang w:val="pl-PL" w:eastAsia="pl-PL" w:bidi="ar-SA"/>
              </w:rPr>
              <w:t>planowy update sygnatur.</w:t>
            </w:r>
          </w:p>
        </w:tc>
      </w:tr>
    </w:tbl>
    <w:p>
      <w:pPr>
        <w:pStyle w:val="Normal"/>
        <w:spacing w:lineRule="auto" w:line="259" w:before="60" w:after="60"/>
        <w:ind w:start="357"/>
        <w:jc w:val="both"/>
        <w:rPr>
          <w:rFonts w:cs="Calibri" w:cstheme="minorHAnsi"/>
        </w:rPr>
      </w:pPr>
      <w:r>
        <w:rPr>
          <w:rFonts w:cs="Calibri" w:cstheme="minorHAnsi"/>
        </w:rPr>
        <w:t>Kryteria definiujące wystąpienie zdarzeń oraz poziom, jaki zostanie przyporządkowany dla poszczególnych zdarzeń, zostaną zastosowane po uzyskaniu zgody Zamawiającego.</w:t>
      </w:r>
    </w:p>
    <w:p>
      <w:pPr>
        <w:pStyle w:val="Normal"/>
        <w:numPr>
          <w:ilvl w:val="0"/>
          <w:numId w:val="2"/>
        </w:numPr>
        <w:spacing w:lineRule="auto" w:line="259" w:before="60" w:after="60"/>
        <w:ind w:hanging="360" w:start="357"/>
        <w:jc w:val="both"/>
        <w:rPr>
          <w:rFonts w:cs="Calibri" w:cstheme="minorHAnsi"/>
          <w:b/>
        </w:rPr>
      </w:pPr>
      <w:r>
        <w:rPr>
          <w:rFonts w:cs="Calibri" w:cstheme="minorHAnsi"/>
          <w:b/>
        </w:rPr>
        <w:t>Implementacja Usługi</w:t>
      </w:r>
    </w:p>
    <w:p>
      <w:pPr>
        <w:pStyle w:val="Normal"/>
        <w:spacing w:lineRule="auto" w:line="259" w:before="60" w:after="60"/>
        <w:ind w:start="357"/>
        <w:jc w:val="both"/>
        <w:rPr>
          <w:rFonts w:cs="Calibri" w:cstheme="minorHAnsi"/>
        </w:rPr>
      </w:pPr>
      <w:r>
        <w:rPr>
          <w:rFonts w:cs="Calibri" w:cstheme="minorHAnsi"/>
        </w:rPr>
        <w:t>Projekt wykonawczy</w:t>
      </w:r>
    </w:p>
    <w:p>
      <w:pPr>
        <w:pStyle w:val="Normal"/>
        <w:spacing w:lineRule="auto" w:line="259" w:before="60" w:after="60"/>
        <w:ind w:start="708"/>
        <w:jc w:val="both"/>
        <w:rPr>
          <w:rFonts w:cs="Calibri" w:cstheme="minorHAnsi"/>
        </w:rPr>
      </w:pPr>
      <w:r>
        <w:rPr>
          <w:rFonts w:cs="Calibri" w:cstheme="minorHAnsi"/>
        </w:rPr>
        <w:t xml:space="preserve">Wykonawca opracuje Projekt wykonawczy usługi proaktywnej ochrony przed Atakami DDoS po podpisaniu Umowy na świadczenie Usługi, przy współpracy z Zamawiającym i przekaże </w:t>
        <w:br/>
        <w:t>go Zamawiającemu zgodnie z § 1 ust. 3 Umowy. Dokument zawierać będzie m. in.:</w:t>
      </w:r>
    </w:p>
    <w:p>
      <w:pPr>
        <w:pStyle w:val="Normal"/>
        <w:numPr>
          <w:ilvl w:val="2"/>
          <w:numId w:val="4"/>
        </w:numPr>
        <w:spacing w:lineRule="auto" w:line="259" w:before="60" w:after="60"/>
        <w:ind w:hanging="180" w:start="1077"/>
        <w:jc w:val="both"/>
        <w:rPr>
          <w:rFonts w:cs="Calibri" w:cstheme="minorHAnsi"/>
        </w:rPr>
      </w:pPr>
      <w:r>
        <w:rPr>
          <w:rFonts w:cs="Calibri" w:cstheme="minorHAnsi"/>
        </w:rPr>
        <w:t>opis techniczny integracji Usługi z siecią Zamawiającego,</w:t>
      </w:r>
    </w:p>
    <w:p>
      <w:pPr>
        <w:pStyle w:val="Normal"/>
        <w:numPr>
          <w:ilvl w:val="2"/>
          <w:numId w:val="4"/>
        </w:numPr>
        <w:spacing w:lineRule="auto" w:line="259" w:before="60" w:after="60"/>
        <w:ind w:hanging="180" w:start="1077"/>
        <w:jc w:val="both"/>
        <w:rPr>
          <w:rFonts w:cs="Calibri" w:cstheme="minorHAnsi"/>
        </w:rPr>
      </w:pPr>
      <w:r>
        <w:rPr>
          <w:rFonts w:cs="Calibri" w:cstheme="minorHAnsi"/>
        </w:rPr>
        <w:t>opis procedur powiadamiania i eskalacji,</w:t>
      </w:r>
    </w:p>
    <w:p>
      <w:pPr>
        <w:pStyle w:val="Normal"/>
        <w:numPr>
          <w:ilvl w:val="2"/>
          <w:numId w:val="4"/>
        </w:numPr>
        <w:spacing w:lineRule="auto" w:line="259" w:before="60" w:after="60"/>
        <w:ind w:hanging="180" w:start="1077"/>
        <w:jc w:val="both"/>
        <w:rPr>
          <w:rFonts w:cs="Calibri" w:cstheme="minorHAnsi"/>
        </w:rPr>
      </w:pPr>
      <w:r>
        <w:rPr>
          <w:rFonts w:cs="Calibri" w:cstheme="minorHAnsi"/>
        </w:rPr>
        <w:t>testy akceptacyjne,</w:t>
      </w:r>
    </w:p>
    <w:p>
      <w:pPr>
        <w:pStyle w:val="Normal"/>
        <w:numPr>
          <w:ilvl w:val="2"/>
          <w:numId w:val="4"/>
        </w:numPr>
        <w:spacing w:lineRule="auto" w:line="259" w:before="60" w:after="60"/>
        <w:ind w:hanging="180" w:start="1077"/>
        <w:jc w:val="both"/>
        <w:rPr>
          <w:rFonts w:cs="Calibri" w:cstheme="minorHAnsi"/>
        </w:rPr>
      </w:pPr>
      <w:r>
        <w:rPr>
          <w:rFonts w:cs="Calibri" w:cstheme="minorHAnsi"/>
        </w:rPr>
        <w:t>opis procedur obsługi zgłoszeń i raportowania.</w:t>
      </w:r>
    </w:p>
    <w:p>
      <w:pPr>
        <w:pStyle w:val="Normal"/>
        <w:spacing w:lineRule="auto" w:line="259" w:before="60" w:after="60"/>
        <w:ind w:start="897"/>
        <w:jc w:val="both"/>
        <w:rPr>
          <w:rFonts w:cs="Calibri" w:cstheme="minorHAnsi"/>
        </w:rPr>
      </w:pPr>
      <w:r>
        <w:rPr>
          <w:rFonts w:cs="Calibri" w:cstheme="minorHAnsi"/>
        </w:rPr>
        <w:t xml:space="preserve">Jednocześnie Wykonawca przeprowadzi w siedzibie Zamawiającego dla zespołów wyszczególnionych w pkt 1 i 2 tabeli 1 </w:t>
      </w:r>
      <w:r>
        <w:rPr>
          <w:rFonts w:cs="Calibri" w:cstheme="minorHAnsi"/>
          <w:bCs/>
          <w:u w:val="single"/>
        </w:rPr>
        <w:t>załącznika nr 4</w:t>
      </w:r>
      <w:r>
        <w:rPr>
          <w:rFonts w:cs="Calibri" w:cstheme="minorHAnsi"/>
          <w:bCs/>
        </w:rPr>
        <w:t xml:space="preserve"> do Umowy</w:t>
      </w:r>
      <w:r>
        <w:rPr>
          <w:rFonts w:cs="Calibri" w:cstheme="minorHAnsi"/>
        </w:rPr>
        <w:t xml:space="preserve"> instruktaż w zakresie działania Usługi, a w szczególności aspektów dotyczących usługi ochrony przed Atakami DDoS. Zamawiający dopuszcza realizację instruktażu w wersji on-line. </w:t>
      </w:r>
    </w:p>
    <w:p>
      <w:pPr>
        <w:pStyle w:val="Normal"/>
        <w:numPr>
          <w:ilvl w:val="1"/>
          <w:numId w:val="3"/>
        </w:numPr>
        <w:spacing w:lineRule="auto" w:line="259" w:before="60" w:after="60"/>
        <w:ind w:hanging="360" w:start="720"/>
        <w:jc w:val="both"/>
        <w:rPr>
          <w:rFonts w:cs="Calibri" w:cstheme="minorHAnsi"/>
        </w:rPr>
      </w:pPr>
      <w:r>
        <w:rPr>
          <w:rFonts w:cs="Calibri" w:cstheme="minorHAnsi"/>
        </w:rPr>
        <w:t>Implementacja</w:t>
      </w:r>
    </w:p>
    <w:p>
      <w:pPr>
        <w:pStyle w:val="Normal"/>
        <w:spacing w:lineRule="auto" w:line="259" w:before="60" w:after="60"/>
        <w:ind w:start="708"/>
        <w:jc w:val="both"/>
        <w:rPr>
          <w:rFonts w:cs="Calibri" w:cstheme="minorHAnsi"/>
        </w:rPr>
      </w:pPr>
      <w:r>
        <w:rPr>
          <w:rFonts w:cs="Calibri" w:cstheme="minorHAnsi"/>
        </w:rPr>
        <w:t xml:space="preserve">Implementacja stanowi rekonfigurację urządzeń Zamawiającego oraz Wykonawcy pod kątem monitorowania ruchu oraz uruchomienia usługi przeciwdziałania Atakom DDoS. </w:t>
      </w:r>
    </w:p>
    <w:p>
      <w:pPr>
        <w:pStyle w:val="Normal"/>
        <w:numPr>
          <w:ilvl w:val="1"/>
          <w:numId w:val="3"/>
        </w:numPr>
        <w:spacing w:lineRule="auto" w:line="259" w:before="60" w:after="60"/>
        <w:ind w:hanging="360" w:start="720"/>
        <w:jc w:val="both"/>
        <w:rPr>
          <w:rFonts w:cs="Calibri" w:cstheme="minorHAnsi"/>
        </w:rPr>
      </w:pPr>
      <w:r>
        <w:rPr>
          <w:rFonts w:cs="Calibri" w:cstheme="minorHAnsi"/>
        </w:rPr>
        <w:t>Testy akceptacyjne</w:t>
      </w:r>
    </w:p>
    <w:p>
      <w:pPr>
        <w:pStyle w:val="Normal"/>
        <w:numPr>
          <w:ilvl w:val="2"/>
          <w:numId w:val="3"/>
        </w:numPr>
        <w:spacing w:lineRule="auto" w:line="259" w:before="60" w:after="60"/>
        <w:ind w:hanging="360" w:start="1077"/>
        <w:jc w:val="both"/>
        <w:rPr>
          <w:rFonts w:cs="Calibri" w:cstheme="minorHAnsi"/>
        </w:rPr>
      </w:pPr>
      <w:r>
        <w:rPr>
          <w:rFonts w:cs="Calibri" w:cstheme="minorHAnsi"/>
        </w:rPr>
        <w:t>Po zakończeniu Implementacji Zamawiający wraz z Wykonawcą przeprowadzą testy akceptacyjne, zgodnie z uzgodnionym Projektem wykonawczym, stanowiące test funkcjonalny platformy ochrony przeciwko Atakom DDoS. Testy uwzględnią weryfikację poprawności wdrożonej konfiguracji. Potwierdzeniem przeprowadzenia ww. testów będzie podpisanie przez Strony Protokołu uruchomienia Usługi;</w:t>
      </w:r>
    </w:p>
    <w:p>
      <w:pPr>
        <w:pStyle w:val="Normal"/>
        <w:numPr>
          <w:ilvl w:val="2"/>
          <w:numId w:val="3"/>
        </w:numPr>
        <w:spacing w:lineRule="auto" w:line="259" w:before="60" w:after="60"/>
        <w:ind w:hanging="360" w:start="1077"/>
        <w:jc w:val="both"/>
        <w:rPr>
          <w:rFonts w:cs="Calibri" w:cstheme="minorHAnsi"/>
        </w:rPr>
      </w:pPr>
      <w:r>
        <w:rPr>
          <w:rFonts w:cs="Calibri" w:cstheme="minorHAnsi"/>
        </w:rPr>
        <w:t xml:space="preserve">Przed wdrożeniem pełnej funkcjonalności usługi przed Atakami DDoS Zamawiający wymaga przeprowadzenia, w okresie pełnego miesiąca kalendarzowego od terminu uruchomienia Usługi, o którym mowa w § 2 Umowy, Procesu analizy ruchu Abonenta, </w:t>
        <w:br/>
        <w:t xml:space="preserve">w którym ruch zdefiniowany w ramach danej lokalizacji kierowany jest do platformy ochrony przed Atakami DDoS Wykonawcy. Ruch podczas tego procesu nie podlega żadnym filtracjom i w sposób niezmieniony kierowany jest do sieci Zamawiającego. Platforma podczas przedmiotowego procesu nauczania zbiera statystyki, na których podstawie jest w stanie określić parametry algorytmów mitygacji (countremeasures) tak, aby w trakcie Ataku zachować ruch użytkowników, a odfiltrować ruch Ataku. Ze względu na specyfikę poszczególnych usług Zamawiającego realizowanych na udostępnionym łączu, dla wybranych usług Zamawiającego termin wdrożenia pełnej funkcjonalności usługi ochrony przed Atakami DDoS może być przedłużony w porozumieniu Zamawiającego </w:t>
        <w:br/>
        <w:t>z Wykonawcą.</w:t>
      </w:r>
    </w:p>
    <w:p>
      <w:pPr>
        <w:pStyle w:val="Normal"/>
        <w:numPr>
          <w:ilvl w:val="0"/>
          <w:numId w:val="2"/>
        </w:numPr>
        <w:spacing w:lineRule="auto" w:line="259" w:before="60" w:after="60"/>
        <w:ind w:hanging="360" w:start="357"/>
        <w:jc w:val="both"/>
        <w:rPr>
          <w:rFonts w:cs="Calibri" w:cstheme="minorHAnsi"/>
          <w:b/>
        </w:rPr>
      </w:pPr>
      <w:r>
        <w:rPr>
          <w:rFonts w:cs="Calibri" w:cstheme="minorHAnsi"/>
          <w:b/>
        </w:rPr>
        <w:t>Dostęp do infrastruktury Zamawiającego</w:t>
      </w:r>
    </w:p>
    <w:p>
      <w:pPr>
        <w:pStyle w:val="Normal"/>
        <w:spacing w:lineRule="auto" w:line="259" w:before="60" w:after="60"/>
        <w:ind w:start="357"/>
        <w:jc w:val="both"/>
        <w:rPr>
          <w:rFonts w:cs="Calibri" w:cstheme="minorHAnsi"/>
        </w:rPr>
      </w:pPr>
      <w:r>
        <w:rPr>
          <w:rFonts w:cs="Calibri" w:cstheme="minorHAnsi"/>
        </w:rPr>
        <w:t xml:space="preserve">W uzasadnionych przypadkach świadczenie Usługi może być powiązane z dostępem do urządzeń aktywnych zarządzanych przez Zamawiającego, w celu uzyskania statystyk ruchu otrzymywanego oraz wysyłanego do sieci Wykonawcy.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Segoe UI">
    <w:charset w:val="ee" w:characterSet="windows-1250"/>
    <w:family w:val="swiss"/>
    <w:pitch w:val="variable"/>
  </w:font>
  <w:font w:name="Calibri">
    <w:charset w:val="ee" w:characterSet="windows-1250"/>
    <w:family w:val="swiss"/>
    <w:pitch w:val="variable"/>
  </w:font>
  <w:font w:name="Cambria">
    <w:charset w:val="ee" w:characterSet="windows-1250"/>
    <w:family w:val="roman"/>
    <w:pitch w:val="variable"/>
  </w:font>
  <w:font w:name="Liberation Sans">
    <w:altName w:val="Arial"/>
    <w:charset w:val="ee" w:characterSet="windows-1250"/>
    <w:family w:val="swiss"/>
    <w:pitch w:val="variable"/>
  </w:font>
  <w:font w:name="Tahoma">
    <w:charset w:val="ee" w:characterSet="windows-1250"/>
    <w:family w:val="swiss"/>
    <w:pitch w:val="variable"/>
  </w:font>
  <w:font w:name="Arial">
    <w:charset w:val="ee" w:characterSet="windows-1250"/>
    <w:family w:val="swiss"/>
    <w:pitch w:val="variable"/>
  </w:font>
  <w:font w:name="Trebuchet MS">
    <w:charset w:val="ee" w:characterSet="windows-1250"/>
    <w:family w:val="swiss"/>
    <w:pitch w:val="variable"/>
  </w:font>
  <w:font w:name="Segoe UI Symbol">
    <w:charset w:val="01"/>
    <w:family w:val="swiss"/>
    <w:pitch w:val="variable"/>
  </w:font>
  <w:font w:name="Arial">
    <w:charset w:val="01"/>
    <w:family w:val="swiss"/>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Trebuchet MS" w:hAnsi="Trebuchet MS" w:cs="Arial"/>
        <w:sz w:val="18"/>
        <w:szCs w:val="18"/>
      </w:rPr>
    </w:pPr>
    <w:r>
      <w:rPr>
        <w:rFonts w:cs="Arial" w:ascii="Trebuchet MS" w:hAnsi="Trebuchet MS"/>
        <w:sz w:val="18"/>
        <w:szCs w:val="18"/>
      </w:rPr>
      <w:t xml:space="preserve">Strona </w:t>
    </w:r>
    <w:r>
      <w:rPr>
        <w:rFonts w:cs="Arial" w:ascii="Trebuchet MS" w:hAnsi="Trebuchet MS"/>
        <w:b/>
        <w:bCs/>
        <w:sz w:val="18"/>
        <w:szCs w:val="18"/>
      </w:rPr>
      <w:fldChar w:fldCharType="begin"/>
    </w:r>
    <w:r>
      <w:rPr>
        <w:rFonts w:cs="Arial" w:ascii="Trebuchet MS" w:hAnsi="Trebuchet MS"/>
        <w:b/>
        <w:bCs/>
        <w:sz w:val="18"/>
        <w:szCs w:val="18"/>
      </w:rPr>
      <w:instrText xml:space="preserve"> PAGE </w:instrText>
    </w:r>
    <w:r>
      <w:rPr>
        <w:rFonts w:cs="Arial" w:ascii="Trebuchet MS" w:hAnsi="Trebuchet MS"/>
        <w:b/>
        <w:bCs/>
        <w:sz w:val="18"/>
        <w:szCs w:val="18"/>
      </w:rPr>
      <w:fldChar w:fldCharType="separate"/>
    </w:r>
    <w:r>
      <w:rPr>
        <w:rFonts w:cs="Arial" w:ascii="Trebuchet MS" w:hAnsi="Trebuchet MS"/>
        <w:b/>
        <w:bCs/>
        <w:sz w:val="18"/>
        <w:szCs w:val="18"/>
      </w:rPr>
      <w:t>7</w:t>
    </w:r>
    <w:r>
      <w:rPr>
        <w:rFonts w:cs="Arial" w:ascii="Trebuchet MS" w:hAnsi="Trebuchet MS"/>
        <w:b/>
        <w:bCs/>
        <w:sz w:val="18"/>
        <w:szCs w:val="18"/>
      </w:rPr>
      <w:fldChar w:fldCharType="end"/>
    </w:r>
    <w:r>
      <w:rPr>
        <w:rFonts w:cs="Arial" w:ascii="Trebuchet MS" w:hAnsi="Trebuchet MS"/>
        <w:sz w:val="18"/>
        <w:szCs w:val="18"/>
      </w:rPr>
      <w:t xml:space="preserve"> z </w:t>
    </w:r>
    <w:r>
      <w:rPr>
        <w:rFonts w:cs="Arial" w:ascii="Trebuchet MS" w:hAnsi="Trebuchet MS"/>
        <w:b/>
        <w:bCs/>
        <w:sz w:val="18"/>
        <w:szCs w:val="18"/>
      </w:rPr>
      <w:fldChar w:fldCharType="begin"/>
    </w:r>
    <w:r>
      <w:rPr>
        <w:rFonts w:cs="Arial" w:ascii="Trebuchet MS" w:hAnsi="Trebuchet MS"/>
        <w:b/>
        <w:bCs/>
        <w:sz w:val="18"/>
        <w:szCs w:val="18"/>
      </w:rPr>
      <w:instrText xml:space="preserve"> NUMPAGES </w:instrText>
    </w:r>
    <w:r>
      <w:rPr>
        <w:rFonts w:cs="Arial" w:ascii="Trebuchet MS" w:hAnsi="Trebuchet MS"/>
        <w:b/>
        <w:bCs/>
        <w:sz w:val="18"/>
        <w:szCs w:val="18"/>
      </w:rPr>
      <w:fldChar w:fldCharType="separate"/>
    </w:r>
    <w:r>
      <w:rPr>
        <w:rFonts w:cs="Arial" w:ascii="Trebuchet MS" w:hAnsi="Trebuchet MS"/>
        <w:b/>
        <w:bCs/>
        <w:sz w:val="18"/>
        <w:szCs w:val="18"/>
      </w:rPr>
      <w:t>7</w:t>
    </w:r>
    <w:r>
      <w:rPr>
        <w:rFonts w:cs="Arial" w:ascii="Trebuchet MS" w:hAnsi="Trebuchet MS"/>
        <w:b/>
        <w:bCs/>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Trebuchet MS" w:hAnsi="Trebuchet MS" w:cs="Arial"/>
        <w:sz w:val="18"/>
        <w:szCs w:val="18"/>
      </w:rPr>
    </w:pPr>
    <w:r>
      <w:rPr>
        <w:rFonts w:cs="Arial" w:ascii="Trebuchet MS" w:hAnsi="Trebuchet MS"/>
        <w:sz w:val="18"/>
        <w:szCs w:val="18"/>
      </w:rPr>
      <w:t xml:space="preserve">Strona </w:t>
    </w:r>
    <w:r>
      <w:rPr>
        <w:rFonts w:cs="Arial" w:ascii="Trebuchet MS" w:hAnsi="Trebuchet MS"/>
        <w:b/>
        <w:bCs/>
        <w:sz w:val="18"/>
        <w:szCs w:val="18"/>
      </w:rPr>
      <w:fldChar w:fldCharType="begin"/>
    </w:r>
    <w:r>
      <w:rPr>
        <w:rFonts w:cs="Arial" w:ascii="Trebuchet MS" w:hAnsi="Trebuchet MS"/>
        <w:b/>
        <w:bCs/>
        <w:sz w:val="18"/>
        <w:szCs w:val="18"/>
      </w:rPr>
      <w:instrText xml:space="preserve"> PAGE </w:instrText>
    </w:r>
    <w:r>
      <w:rPr>
        <w:rFonts w:cs="Arial" w:ascii="Trebuchet MS" w:hAnsi="Trebuchet MS"/>
        <w:b/>
        <w:bCs/>
        <w:sz w:val="18"/>
        <w:szCs w:val="18"/>
      </w:rPr>
      <w:fldChar w:fldCharType="separate"/>
    </w:r>
    <w:r>
      <w:rPr>
        <w:rFonts w:cs="Arial" w:ascii="Trebuchet MS" w:hAnsi="Trebuchet MS"/>
        <w:b/>
        <w:bCs/>
        <w:sz w:val="18"/>
        <w:szCs w:val="18"/>
      </w:rPr>
      <w:t>7</w:t>
    </w:r>
    <w:r>
      <w:rPr>
        <w:rFonts w:cs="Arial" w:ascii="Trebuchet MS" w:hAnsi="Trebuchet MS"/>
        <w:b/>
        <w:bCs/>
        <w:sz w:val="18"/>
        <w:szCs w:val="18"/>
      </w:rPr>
      <w:fldChar w:fldCharType="end"/>
    </w:r>
    <w:r>
      <w:rPr>
        <w:rFonts w:cs="Arial" w:ascii="Trebuchet MS" w:hAnsi="Trebuchet MS"/>
        <w:sz w:val="18"/>
        <w:szCs w:val="18"/>
      </w:rPr>
      <w:t xml:space="preserve"> z </w:t>
    </w:r>
    <w:r>
      <w:rPr>
        <w:rFonts w:cs="Arial" w:ascii="Trebuchet MS" w:hAnsi="Trebuchet MS"/>
        <w:b/>
        <w:bCs/>
        <w:sz w:val="18"/>
        <w:szCs w:val="18"/>
      </w:rPr>
      <w:fldChar w:fldCharType="begin"/>
    </w:r>
    <w:r>
      <w:rPr>
        <w:rFonts w:cs="Arial" w:ascii="Trebuchet MS" w:hAnsi="Trebuchet MS"/>
        <w:b/>
        <w:bCs/>
        <w:sz w:val="18"/>
        <w:szCs w:val="18"/>
      </w:rPr>
      <w:instrText xml:space="preserve"> NUMPAGES </w:instrText>
    </w:r>
    <w:r>
      <w:rPr>
        <w:rFonts w:cs="Arial" w:ascii="Trebuchet MS" w:hAnsi="Trebuchet MS"/>
        <w:b/>
        <w:bCs/>
        <w:sz w:val="18"/>
        <w:szCs w:val="18"/>
      </w:rPr>
      <w:fldChar w:fldCharType="separate"/>
    </w:r>
    <w:r>
      <w:rPr>
        <w:rFonts w:cs="Arial" w:ascii="Trebuchet MS" w:hAnsi="Trebuchet MS"/>
        <w:b/>
        <w:bCs/>
        <w:sz w:val="18"/>
        <w:szCs w:val="18"/>
      </w:rPr>
      <w:t>7</w:t>
    </w:r>
    <w:r>
      <w:rPr>
        <w:rFonts w:cs="Arial" w:ascii="Trebuchet MS" w:hAnsi="Trebuchet MS"/>
        <w:b/>
        <w:b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555" w:leader="none"/>
        <w:tab w:val="center" w:pos="4536" w:leader="none"/>
      </w:tabs>
      <w:spacing w:lineRule="auto" w:line="259" w:before="60" w:after="60"/>
      <w:jc w:val="end"/>
      <w:rPr>
        <w:rFonts w:ascii="Trebuchet MS" w:hAnsi="Trebuchet MS"/>
        <w:sz w:val="20"/>
        <w:szCs w:val="20"/>
      </w:rPr>
    </w:pPr>
    <w:r>
      <w:rPr>
        <w:rFonts w:ascii="Trebuchet MS" w:hAnsi="Trebuchet MS"/>
        <w:color w:themeColor="text1" w:themeTint="bf" w:val="404040"/>
        <w:sz w:val="20"/>
        <w:szCs w:val="20"/>
      </w:rPr>
      <w:br/>
      <w:t>TOM III – Opis przedmiotu zamówienia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555" w:leader="none"/>
        <w:tab w:val="center" w:pos="4536" w:leader="none"/>
      </w:tabs>
      <w:spacing w:lineRule="auto" w:line="259" w:before="60" w:after="60"/>
      <w:jc w:val="end"/>
      <w:rPr>
        <w:rFonts w:ascii="Trebuchet MS" w:hAnsi="Trebuchet MS"/>
        <w:sz w:val="20"/>
        <w:szCs w:val="20"/>
      </w:rPr>
    </w:pPr>
    <w:r>
      <w:rPr>
        <w:rFonts w:ascii="Trebuchet MS" w:hAnsi="Trebuchet MS"/>
        <w:color w:themeColor="text1" w:themeTint="bf" w:val="404040"/>
        <w:sz w:val="20"/>
        <w:szCs w:val="20"/>
      </w:rPr>
      <w:br/>
      <w:t>TOM III – Opis przedmiotu zamówienia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0"/>
      </w:pPr>
      <w:rPr>
        <w:rFonts w:ascii="Calibri" w:hAnsi="Calibri"/>
        <w:b w:val="false"/>
        <w:i w:val="false"/>
        <w:color w:val="auto"/>
        <w:sz w:val="22"/>
      </w:rPr>
    </w:lvl>
    <w:lvl w:ilvl="1">
      <w:start w:val="1"/>
      <w:numFmt w:val="decimal"/>
      <w:lvlText w:val="%1.%2."/>
      <w:lvlJc w:val="start"/>
      <w:pPr>
        <w:tabs>
          <w:tab w:val="num" w:pos="0"/>
        </w:tabs>
        <w:ind w:start="0" w:hanging="0"/>
      </w:pPr>
      <w:rPr>
        <w:rFonts w:ascii="Calibri" w:hAnsi="Calibri"/>
        <w:b w:val="false"/>
        <w:i w:val="false"/>
        <w:sz w:val="22"/>
      </w:rPr>
    </w:lvl>
    <w:lvl w:ilvl="2">
      <w:start w:val="1"/>
      <w:numFmt w:val="decimal"/>
      <w:lvlText w:val="%1.%2.%3."/>
      <w:lvlJc w:val="start"/>
      <w:pPr>
        <w:tabs>
          <w:tab w:val="num" w:pos="0"/>
        </w:tabs>
        <w:ind w:start="0" w:hanging="0"/>
      </w:pPr>
      <w:rPr>
        <w:rFonts w:ascii="Calibri" w:hAnsi="Calibri"/>
        <w:b w:val="false"/>
        <w:i w:val="false"/>
        <w:color w:val="auto"/>
        <w:sz w:val="22"/>
      </w:rPr>
    </w:lvl>
    <w:lvl w:ilvl="3">
      <w:start w:val="1"/>
      <w:numFmt w:val="decimal"/>
      <w:lvlText w:val="%1.%2.%3.%4."/>
      <w:lvlJc w:val="start"/>
      <w:pPr>
        <w:tabs>
          <w:tab w:val="num" w:pos="0"/>
        </w:tabs>
        <w:ind w:start="0" w:hanging="0"/>
      </w:pPr>
      <w:rPr>
        <w:rFonts w:ascii="Calibri" w:hAnsi="Calibri"/>
        <w:b w:val="false"/>
        <w:i w:val="false"/>
        <w:color w:val="auto"/>
        <w:sz w:val="22"/>
      </w:rPr>
    </w:lvl>
    <w:lvl w:ilvl="4">
      <w:start w:val="1"/>
      <w:numFmt w:val="decimal"/>
      <w:lvlText w:val="%1.%2.%3.%4.%5."/>
      <w:lvlJc w:val="start"/>
      <w:pPr>
        <w:tabs>
          <w:tab w:val="num" w:pos="0"/>
        </w:tabs>
        <w:ind w:start="0" w:hanging="0"/>
      </w:pPr>
      <w:rPr>
        <w:rFonts w:ascii="Calibri" w:hAnsi="Calibri"/>
        <w:b/>
        <w:i w:val="false"/>
        <w:color w:val="auto"/>
        <w:sz w:val="22"/>
      </w:rPr>
    </w:lvl>
    <w:lvl w:ilvl="5">
      <w:start w:val="1"/>
      <w:numFmt w:val="decimal"/>
      <w:lvlText w:val="%1.%2.%3.%4.%5.%6."/>
      <w:lvlJc w:val="start"/>
      <w:pPr>
        <w:tabs>
          <w:tab w:val="num" w:pos="0"/>
        </w:tabs>
        <w:ind w:start="0" w:hanging="0"/>
      </w:pPr>
      <w:rPr>
        <w:rFonts w:ascii="Calibri" w:hAnsi="Calibri"/>
        <w:b/>
        <w:i w:val="false"/>
        <w:color w:val="auto"/>
        <w:sz w:val="22"/>
      </w:rPr>
    </w:lvl>
    <w:lvl w:ilvl="6">
      <w:start w:val="1"/>
      <w:numFmt w:val="decimal"/>
      <w:lvlText w:val="%1.%2.%3.%4.%5.%6.%7."/>
      <w:lvlJc w:val="start"/>
      <w:pPr>
        <w:tabs>
          <w:tab w:val="num" w:pos="0"/>
        </w:tabs>
        <w:ind w:start="0" w:hanging="0"/>
      </w:pPr>
      <w:rPr>
        <w:rFonts w:ascii="Calibri" w:hAnsi="Calibri"/>
        <w:b/>
        <w:i w:val="false"/>
        <w:color w:val="auto"/>
        <w:sz w:val="22"/>
      </w:rPr>
    </w:lvl>
    <w:lvl w:ilvl="7">
      <w:start w:val="1"/>
      <w:numFmt w:val="decimal"/>
      <w:lvlText w:val="%1.%2.%3.%4.%5.%6.%7.%8."/>
      <w:lvlJc w:val="start"/>
      <w:pPr>
        <w:tabs>
          <w:tab w:val="num" w:pos="0"/>
        </w:tabs>
        <w:ind w:start="0" w:hanging="0"/>
      </w:pPr>
      <w:rPr>
        <w:rFonts w:ascii="Calibri" w:hAnsi="Calibri"/>
        <w:b/>
        <w:i w:val="false"/>
        <w:color w:val="auto"/>
        <w:sz w:val="22"/>
      </w:rPr>
    </w:lvl>
    <w:lvl w:ilvl="8">
      <w:start w:val="1"/>
      <w:numFmt w:val="decimal"/>
      <w:lvlText w:val="%1.%2.%3.%4.%5.%6.%7.%8.%9."/>
      <w:lvlJc w:val="start"/>
      <w:pPr>
        <w:tabs>
          <w:tab w:val="num" w:pos="0"/>
        </w:tabs>
        <w:ind w:start="0" w:hanging="0"/>
      </w:pPr>
      <w:rPr>
        <w:rFonts w:ascii="Calibri" w:hAnsi="Calibri"/>
        <w:b/>
        <w:i w:val="false"/>
        <w:color w:val="auto"/>
        <w:sz w:val="22"/>
      </w:rPr>
    </w:lvl>
  </w:abstractNum>
  <w:abstractNum w:abstractNumId="2">
    <w:lvl w:ilvl="0">
      <w:start w:val="1"/>
      <w:numFmt w:val="decimal"/>
      <w:lvlText w:val="%1."/>
      <w:lvlJc w:val="start"/>
      <w:pPr>
        <w:tabs>
          <w:tab w:val="num" w:pos="0"/>
        </w:tabs>
        <w:ind w:start="357" w:hanging="0"/>
      </w:pPr>
      <w:rPr>
        <w:rFonts w:ascii="Calibri" w:hAnsi="Calibri" w:eastAsia="Times New Roman" w:cs="Calibri" w:asciiTheme="minorHAnsi" w:cstheme="minorHAnsi" w:hAnsiTheme="minorHAnsi"/>
        <w:b/>
        <w:bCs/>
        <w:i w:val="false"/>
        <w:strike w:val="false"/>
        <w:dstrike w:val="false"/>
        <w:color w:val="000000"/>
        <w:position w:val="0"/>
        <w:sz w:val="22"/>
        <w:szCs w:val="22"/>
        <w:u w:val="none" w:color="000000"/>
        <w:shd w:fill="auto" w:val="clear"/>
        <w:vertAlign w:val="baseline"/>
      </w:rPr>
    </w:lvl>
    <w:lvl w:ilvl="1">
      <w:start w:val="1"/>
      <w:numFmt w:val="decimal"/>
      <w:lvlText w:val="%2)"/>
      <w:lvlJc w:val="start"/>
      <w:pPr>
        <w:tabs>
          <w:tab w:val="num" w:pos="0"/>
        </w:tabs>
        <w:ind w:start="720" w:hanging="0"/>
      </w:pPr>
      <w:rPr>
        <w:rFonts w:ascii="Calibri" w:hAnsi="Calibri" w:eastAsia="Times New Roman" w:cs="Calibri" w:asciiTheme="minorHAnsi" w:cstheme="minorHAnsi" w:hAnsiTheme="minorHAnsi"/>
        <w:b w:val="false"/>
        <w:i w:val="false"/>
        <w:strike w:val="false"/>
        <w:dstrike w:val="false"/>
        <w:color w:val="000000"/>
        <w:position w:val="0"/>
        <w:sz w:val="22"/>
        <w:szCs w:val="22"/>
        <w:u w:val="none" w:color="000000"/>
        <w:shd w:fill="auto" w:val="clear"/>
        <w:vertAlign w:val="baseline"/>
      </w:rPr>
    </w:lvl>
    <w:lvl w:ilvl="2">
      <w:start w:val="1"/>
      <w:numFmt w:val="lowerLetter"/>
      <w:lvlText w:val="%3)"/>
      <w:lvlJc w:val="start"/>
      <w:pPr>
        <w:tabs>
          <w:tab w:val="num" w:pos="0"/>
        </w:tabs>
        <w:ind w:start="1077" w:hanging="0"/>
      </w:pPr>
      <w:rPr>
        <w:rFonts w:ascii="Calibri" w:hAnsi="Calibri" w:eastAsia="Times New Roman" w:cs="Calibri" w:asciiTheme="minorHAnsi" w:cstheme="minorHAnsi" w:hAnsiTheme="minorHAnsi"/>
        <w:b w:val="false"/>
        <w:i w:val="false"/>
        <w:strike w:val="false"/>
        <w:dstrike w:val="false"/>
        <w:color w:val="000000"/>
        <w:position w:val="0"/>
        <w:sz w:val="22"/>
        <w:szCs w:val="22"/>
        <w:u w:val="none" w:color="000000"/>
        <w:shd w:fill="auto" w:val="clear"/>
        <w:vertAlign w:val="baseline"/>
      </w:rPr>
    </w:lvl>
    <w:lvl w:ilvl="3">
      <w:start w:val="1"/>
      <w:numFmt w:val="bullet"/>
      <w:lvlText w:val=""/>
      <w:lvlJc w:val="start"/>
      <w:pPr>
        <w:tabs>
          <w:tab w:val="num" w:pos="0"/>
        </w:tabs>
        <w:ind w:start="141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4">
      <w:start w:val="1"/>
      <w:numFmt w:val="bullet"/>
      <w:lvlText w:val="o"/>
      <w:lvlJc w:val="start"/>
      <w:pPr>
        <w:tabs>
          <w:tab w:val="num" w:pos="0"/>
        </w:tabs>
        <w:ind w:start="2157"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5">
      <w:start w:val="1"/>
      <w:numFmt w:val="bullet"/>
      <w:lvlText w:val="▪"/>
      <w:lvlJc w:val="start"/>
      <w:pPr>
        <w:tabs>
          <w:tab w:val="num" w:pos="0"/>
        </w:tabs>
        <w:ind w:start="2877"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6">
      <w:start w:val="1"/>
      <w:numFmt w:val="bullet"/>
      <w:lvlText w:val="•"/>
      <w:lvlJc w:val="start"/>
      <w:pPr>
        <w:tabs>
          <w:tab w:val="num" w:pos="0"/>
        </w:tabs>
        <w:ind w:start="3597" w:hanging="0"/>
      </w:pPr>
      <w:rPr>
        <w:rFonts w:ascii="Arial" w:hAnsi="Arial" w:cs="Arial" w:hint="default"/>
        <w:b w:val="false"/>
        <w:i w:val="false"/>
        <w:strike w:val="false"/>
        <w:dstrike w:val="false"/>
        <w:color w:val="000000"/>
        <w:position w:val="0"/>
        <w:sz w:val="24"/>
        <w:szCs w:val="24"/>
        <w:u w:val="none" w:color="000000"/>
        <w:shd w:fill="auto" w:val="clear"/>
        <w:vertAlign w:val="baseline"/>
      </w:rPr>
    </w:lvl>
    <w:lvl w:ilvl="7">
      <w:start w:val="1"/>
      <w:numFmt w:val="bullet"/>
      <w:lvlText w:val="o"/>
      <w:lvlJc w:val="start"/>
      <w:pPr>
        <w:tabs>
          <w:tab w:val="num" w:pos="0"/>
        </w:tabs>
        <w:ind w:start="4317"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8">
      <w:start w:val="1"/>
      <w:numFmt w:val="bullet"/>
      <w:lvlText w:val="▪"/>
      <w:lvlJc w:val="start"/>
      <w:pPr>
        <w:tabs>
          <w:tab w:val="num" w:pos="0"/>
        </w:tabs>
        <w:ind w:start="5037"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abstractNum>
  <w:abstractNum w:abstractNumId="3">
    <w:lvl w:ilvl="0">
      <w:start w:val="6"/>
      <w:numFmt w:val="decimal"/>
      <w:lvlText w:val="%1."/>
      <w:lvlJc w:val="start"/>
      <w:pPr>
        <w:tabs>
          <w:tab w:val="num" w:pos="0"/>
        </w:tabs>
        <w:ind w:start="357" w:hanging="0"/>
      </w:pPr>
      <w:rPr>
        <w:rFonts w:ascii="Calibri" w:hAnsi="Calibri" w:eastAsia="Times New Roman" w:cs="Calibri" w:asciiTheme="minorHAnsi" w:cstheme="minorHAnsi" w:hAnsiTheme="minorHAnsi"/>
        <w:b/>
        <w:bCs/>
        <w:i w:val="false"/>
        <w:strike w:val="false"/>
        <w:dstrike w:val="false"/>
        <w:color w:val="000000"/>
        <w:position w:val="0"/>
        <w:sz w:val="22"/>
        <w:szCs w:val="22"/>
        <w:u w:val="none" w:color="000000"/>
        <w:shd w:fill="auto" w:val="clear"/>
        <w:vertAlign w:val="baseline"/>
      </w:rPr>
    </w:lvl>
    <w:lvl w:ilvl="1">
      <w:start w:val="2"/>
      <w:numFmt w:val="decimal"/>
      <w:lvlText w:val="%2)"/>
      <w:lvlJc w:val="start"/>
      <w:pPr>
        <w:tabs>
          <w:tab w:val="num" w:pos="0"/>
        </w:tabs>
        <w:ind w:start="720" w:hanging="0"/>
      </w:pPr>
      <w:rPr>
        <w:rFonts w:ascii="Calibri" w:hAnsi="Calibri" w:eastAsia="Times New Roman" w:cs="Calibri" w:asciiTheme="minorHAnsi" w:cstheme="minorHAnsi" w:hAnsiTheme="minorHAnsi"/>
        <w:b w:val="false"/>
        <w:i w:val="false"/>
        <w:strike w:val="false"/>
        <w:dstrike w:val="false"/>
        <w:color w:val="000000"/>
        <w:position w:val="0"/>
        <w:sz w:val="22"/>
        <w:szCs w:val="22"/>
        <w:u w:val="none" w:color="000000"/>
        <w:shd w:fill="auto" w:val="clear"/>
        <w:vertAlign w:val="baseline"/>
      </w:rPr>
    </w:lvl>
    <w:lvl w:ilvl="2">
      <w:start w:val="1"/>
      <w:numFmt w:val="lowerLetter"/>
      <w:lvlText w:val="%3)"/>
      <w:lvlJc w:val="start"/>
      <w:pPr>
        <w:tabs>
          <w:tab w:val="num" w:pos="0"/>
        </w:tabs>
        <w:ind w:start="1077" w:hanging="0"/>
      </w:pPr>
      <w:rPr>
        <w:rFonts w:ascii="Calibri" w:hAnsi="Calibri" w:eastAsia="Times New Roman" w:cs="Calibri" w:asciiTheme="minorHAnsi" w:cstheme="minorHAnsi" w:hAnsiTheme="minorHAnsi"/>
        <w:b w:val="false"/>
        <w:i w:val="false"/>
        <w:strike w:val="false"/>
        <w:dstrike w:val="false"/>
        <w:color w:val="000000"/>
        <w:position w:val="0"/>
        <w:sz w:val="22"/>
        <w:szCs w:val="22"/>
        <w:u w:val="none" w:color="000000"/>
        <w:shd w:fill="auto" w:val="clear"/>
        <w:vertAlign w:val="baseline"/>
      </w:rPr>
    </w:lvl>
    <w:lvl w:ilvl="3">
      <w:start w:val="1"/>
      <w:numFmt w:val="decimal"/>
      <w:lvlText w:val="%4"/>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4">
    <w:lvl w:ilvl="0">
      <w:start w:val="1"/>
      <w:numFmt w:val="decimal"/>
      <w:lvlText w:val="%1"/>
      <w:lvlJc w:val="start"/>
      <w:pPr>
        <w:tabs>
          <w:tab w:val="num" w:pos="0"/>
        </w:tabs>
        <w:ind w:start="3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7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Letter"/>
      <w:lvlText w:val="%3)"/>
      <w:lvlJc w:val="start"/>
      <w:pPr>
        <w:tabs>
          <w:tab w:val="num" w:pos="0"/>
        </w:tabs>
        <w:ind w:start="107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5">
    <w:lvl w:ilvl="0">
      <w:start w:val="1"/>
      <w:numFmt w:val="bullet"/>
      <w:lvlText w:val="•"/>
      <w:lvlJc w:val="start"/>
      <w:pPr>
        <w:tabs>
          <w:tab w:val="num" w:pos="0"/>
        </w:tabs>
        <w:ind w:start="360" w:hanging="0"/>
      </w:pPr>
      <w:rPr>
        <w:rFonts w:ascii="Arial" w:hAnsi="Arial" w:cs="Arial" w:hint="default"/>
        <w:b w:val="false"/>
        <w:i w:val="false"/>
        <w:strike w:val="false"/>
        <w:dstrike w:val="false"/>
        <w:color w:val="000000"/>
        <w:position w:val="0"/>
        <w:sz w:val="24"/>
        <w:szCs w:val="24"/>
        <w:u w:val="none" w:color="000000"/>
        <w:shd w:fill="auto" w:val="clear"/>
        <w:vertAlign w:val="baseline"/>
      </w:rPr>
    </w:lvl>
    <w:lvl w:ilvl="1">
      <w:start w:val="1"/>
      <w:numFmt w:val="bullet"/>
      <w:lvlText w:val="o"/>
      <w:lvlJc w:val="start"/>
      <w:pPr>
        <w:tabs>
          <w:tab w:val="num" w:pos="0"/>
        </w:tabs>
        <w:ind w:start="118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2">
      <w:start w:val="1"/>
      <w:numFmt w:val="bullet"/>
      <w:lvlText w:val="▪"/>
      <w:lvlJc w:val="start"/>
      <w:pPr>
        <w:tabs>
          <w:tab w:val="num" w:pos="0"/>
        </w:tabs>
        <w:ind w:start="190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3">
      <w:start w:val="1"/>
      <w:numFmt w:val="bullet"/>
      <w:lvlText w:val="•"/>
      <w:lvlJc w:val="start"/>
      <w:pPr>
        <w:tabs>
          <w:tab w:val="num" w:pos="0"/>
        </w:tabs>
        <w:ind w:start="2628" w:hanging="0"/>
      </w:pPr>
      <w:rPr>
        <w:rFonts w:ascii="Arial" w:hAnsi="Arial" w:cs="Arial" w:hint="default"/>
        <w:b w:val="false"/>
        <w:i w:val="false"/>
        <w:strike w:val="false"/>
        <w:dstrike w:val="false"/>
        <w:color w:val="000000"/>
        <w:position w:val="0"/>
        <w:sz w:val="24"/>
        <w:szCs w:val="24"/>
        <w:u w:val="none" w:color="000000"/>
        <w:shd w:fill="auto" w:val="clear"/>
        <w:vertAlign w:val="baseline"/>
      </w:rPr>
    </w:lvl>
    <w:lvl w:ilvl="4">
      <w:start w:val="1"/>
      <w:numFmt w:val="bullet"/>
      <w:lvlText w:val="o"/>
      <w:lvlJc w:val="start"/>
      <w:pPr>
        <w:tabs>
          <w:tab w:val="num" w:pos="0"/>
        </w:tabs>
        <w:ind w:start="334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5">
      <w:start w:val="1"/>
      <w:numFmt w:val="bullet"/>
      <w:lvlText w:val="▪"/>
      <w:lvlJc w:val="start"/>
      <w:pPr>
        <w:tabs>
          <w:tab w:val="num" w:pos="0"/>
        </w:tabs>
        <w:ind w:start="406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6">
      <w:start w:val="1"/>
      <w:numFmt w:val="bullet"/>
      <w:lvlText w:val="•"/>
      <w:lvlJc w:val="start"/>
      <w:pPr>
        <w:tabs>
          <w:tab w:val="num" w:pos="0"/>
        </w:tabs>
        <w:ind w:start="4788" w:hanging="0"/>
      </w:pPr>
      <w:rPr>
        <w:rFonts w:ascii="Arial" w:hAnsi="Arial" w:cs="Arial" w:hint="default"/>
        <w:b w:val="false"/>
        <w:i w:val="false"/>
        <w:strike w:val="false"/>
        <w:dstrike w:val="false"/>
        <w:color w:val="000000"/>
        <w:position w:val="0"/>
        <w:sz w:val="24"/>
        <w:szCs w:val="24"/>
        <w:u w:val="none" w:color="000000"/>
        <w:shd w:fill="auto" w:val="clear"/>
        <w:vertAlign w:val="baseline"/>
      </w:rPr>
    </w:lvl>
    <w:lvl w:ilvl="7">
      <w:start w:val="1"/>
      <w:numFmt w:val="bullet"/>
      <w:lvlText w:val="o"/>
      <w:lvlJc w:val="start"/>
      <w:pPr>
        <w:tabs>
          <w:tab w:val="num" w:pos="0"/>
        </w:tabs>
        <w:ind w:start="550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lvl w:ilvl="8">
      <w:start w:val="1"/>
      <w:numFmt w:val="bullet"/>
      <w:lvlText w:val="▪"/>
      <w:lvlJc w:val="start"/>
      <w:pPr>
        <w:tabs>
          <w:tab w:val="num" w:pos="0"/>
        </w:tabs>
        <w:ind w:start="6228" w:hanging="0"/>
      </w:pPr>
      <w:rPr>
        <w:rFonts w:ascii="Segoe UI Symbol" w:hAnsi="Segoe UI Symbol" w:cs="Segoe UI Symbol" w:hint="default"/>
        <w:b w:val="false"/>
        <w:i w:val="false"/>
        <w:strike w:val="false"/>
        <w:dstrike w:val="false"/>
        <w:color w:val="000000"/>
        <w:position w:val="0"/>
        <w:sz w:val="24"/>
        <w:szCs w:val="24"/>
        <w:u w:val="none" w:color="000000"/>
        <w:shd w:fill="auto" w:val="clear"/>
        <w:vertAlign w:val="baseline"/>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09"/>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2cb8"/>
    <w:pPr>
      <w:widowControl/>
      <w:bidi w:val="0"/>
      <w:spacing w:lineRule="auto" w:line="276" w:before="0" w:after="12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link w:val="Nagwek1Znak"/>
    <w:uiPriority w:val="9"/>
    <w:qFormat/>
    <w:rsid w:val="007c13b0"/>
    <w:pPr>
      <w:spacing w:lineRule="auto" w:line="240" w:beforeAutospacing="1" w:afterAutospacing="1"/>
      <w:outlineLvl w:val="0"/>
    </w:pPr>
    <w:rPr>
      <w:rFonts w:ascii="Times New Roman" w:hAnsi="Times New Roman" w:eastAsia="Times New Roman" w:cs="Times New Roman"/>
      <w:b/>
      <w:bCs/>
      <w:kern w:val="2"/>
      <w:sz w:val="48"/>
      <w:szCs w:val="48"/>
      <w:lang w:eastAsia="pl-PL"/>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uiPriority w:val="99"/>
    <w:semiHidden/>
    <w:qFormat/>
    <w:rsid w:val="001657e6"/>
    <w:rPr>
      <w:rFonts w:ascii="Segoe UI" w:hAnsi="Segoe UI" w:cs="Segoe UI"/>
      <w:sz w:val="18"/>
      <w:szCs w:val="18"/>
    </w:rPr>
  </w:style>
  <w:style w:type="character" w:styleId="Hyperlink">
    <w:name w:val="Hyperlink"/>
    <w:basedOn w:val="DefaultParagraphFont"/>
    <w:uiPriority w:val="99"/>
    <w:unhideWhenUsed/>
    <w:rsid w:val="001657e6"/>
    <w:rPr>
      <w:color w:themeColor="hyperlink" w:val="0563C1"/>
      <w:u w:val="single"/>
    </w:rPr>
  </w:style>
  <w:style w:type="character" w:styleId="normaltextrun" w:customStyle="1">
    <w:name w:val="normaltextrun"/>
    <w:basedOn w:val="DefaultParagraphFont"/>
    <w:qFormat/>
    <w:rsid w:val="001657e6"/>
    <w:rPr/>
  </w:style>
  <w:style w:type="character" w:styleId="CommentReference">
    <w:name w:val="annotation reference"/>
    <w:basedOn w:val="DefaultParagraphFont"/>
    <w:uiPriority w:val="99"/>
    <w:unhideWhenUsed/>
    <w:qFormat/>
    <w:rsid w:val="001657e6"/>
    <w:rPr>
      <w:sz w:val="16"/>
      <w:szCs w:val="16"/>
    </w:rPr>
  </w:style>
  <w:style w:type="character" w:styleId="TekstkomentarzaZnak" w:customStyle="1">
    <w:name w:val="Tekst komentarza Znak"/>
    <w:basedOn w:val="DefaultParagraphFont"/>
    <w:link w:val="CommentText"/>
    <w:uiPriority w:val="99"/>
    <w:qFormat/>
    <w:rsid w:val="001657e6"/>
    <w:rPr>
      <w:sz w:val="20"/>
      <w:szCs w:val="20"/>
    </w:rPr>
  </w:style>
  <w:style w:type="character" w:styleId="NagwekZnak" w:customStyle="1">
    <w:name w:val="Nagłówek Znak"/>
    <w:basedOn w:val="DefaultParagraphFont"/>
    <w:uiPriority w:val="99"/>
    <w:qFormat/>
    <w:rsid w:val="001657e6"/>
    <w:rPr/>
  </w:style>
  <w:style w:type="character" w:styleId="StopkaZnak" w:customStyle="1">
    <w:name w:val="Stopka Znak"/>
    <w:basedOn w:val="DefaultParagraphFont"/>
    <w:uiPriority w:val="99"/>
    <w:qFormat/>
    <w:rsid w:val="001657e6"/>
    <w:rPr/>
  </w:style>
  <w:style w:type="character" w:styleId="TematkomentarzaZnak" w:customStyle="1">
    <w:name w:val="Temat komentarza Znak"/>
    <w:basedOn w:val="TekstkomentarzaZnak"/>
    <w:link w:val="annotationsubject"/>
    <w:uiPriority w:val="99"/>
    <w:semiHidden/>
    <w:qFormat/>
    <w:rsid w:val="001657e6"/>
    <w:rPr>
      <w:b/>
      <w:bCs/>
      <w:sz w:val="20"/>
      <w:szCs w:val="20"/>
    </w:rPr>
  </w:style>
  <w:style w:type="character" w:styleId="AkapitzlistZnak" w:customStyle="1">
    <w:name w:val="Akapit z listą Znak"/>
    <w:link w:val="ListParagraph"/>
    <w:uiPriority w:val="34"/>
    <w:qFormat/>
    <w:rsid w:val="00806d84"/>
    <w:rPr/>
  </w:style>
  <w:style w:type="character" w:styleId="TekstprzypisukocowegoZnak" w:customStyle="1">
    <w:name w:val="Tekst przypisu końcowego Znak"/>
    <w:basedOn w:val="DefaultParagraphFont"/>
    <w:uiPriority w:val="99"/>
    <w:semiHidden/>
    <w:qFormat/>
    <w:rsid w:val="008d4f41"/>
    <w:rPr>
      <w:sz w:val="20"/>
      <w:szCs w:val="20"/>
    </w:rPr>
  </w:style>
  <w:style w:type="character" w:styleId="Znakiprzypiswkocowych">
    <w:name w:val="Znaki przypisów końcowych"/>
    <w:basedOn w:val="DefaultParagraphFont"/>
    <w:uiPriority w:val="99"/>
    <w:semiHidden/>
    <w:unhideWhenUsed/>
    <w:qFormat/>
    <w:rsid w:val="008d4f41"/>
    <w:rPr>
      <w:vertAlign w:val="superscript"/>
    </w:rPr>
  </w:style>
  <w:style w:type="character" w:styleId="EndnoteReference">
    <w:name w:val="endnote reference"/>
    <w:rPr>
      <w:vertAlign w:val="superscript"/>
    </w:rPr>
  </w:style>
  <w:style w:type="character" w:styleId="TekstpodstawowyZnak" w:customStyle="1">
    <w:name w:val="Tekst podstawowy Znak"/>
    <w:basedOn w:val="DefaultParagraphFont"/>
    <w:qFormat/>
    <w:rsid w:val="00ea2e34"/>
    <w:rPr>
      <w:rFonts w:ascii="Times New Roman" w:hAnsi="Times New Roman" w:eastAsia="Times New Roman" w:cs="Times New Roman"/>
      <w:sz w:val="24"/>
      <w:szCs w:val="24"/>
      <w:lang w:eastAsia="pl-PL"/>
    </w:rPr>
  </w:style>
  <w:style w:type="character" w:styleId="FontStyle22" w:customStyle="1">
    <w:name w:val="Font Style22"/>
    <w:basedOn w:val="DefaultParagraphFont"/>
    <w:uiPriority w:val="99"/>
    <w:qFormat/>
    <w:rsid w:val="000164fb"/>
    <w:rPr>
      <w:rFonts w:ascii="Calibri" w:hAnsi="Calibri" w:cs="Calibri"/>
      <w:b/>
      <w:bCs/>
      <w:sz w:val="24"/>
      <w:szCs w:val="24"/>
    </w:rPr>
  </w:style>
  <w:style w:type="character" w:styleId="TekstprzypisudolnegoZnak" w:customStyle="1">
    <w:name w:val="Tekst przypisu dolnego Znak"/>
    <w:basedOn w:val="DefaultParagraphFont"/>
    <w:uiPriority w:val="99"/>
    <w:qFormat/>
    <w:rsid w:val="00302eff"/>
    <w:rPr>
      <w:sz w:val="20"/>
      <w:szCs w:val="20"/>
    </w:rPr>
  </w:style>
  <w:style w:type="character" w:styleId="Znakiprzypiswdolnych">
    <w:name w:val="Znaki przypisów dolnych"/>
    <w:basedOn w:val="DefaultParagraphFont"/>
    <w:uiPriority w:val="99"/>
    <w:semiHidden/>
    <w:unhideWhenUsed/>
    <w:qFormat/>
    <w:rsid w:val="00302eff"/>
    <w:rPr>
      <w:vertAlign w:val="superscript"/>
    </w:rPr>
  </w:style>
  <w:style w:type="character" w:styleId="FootnoteReference">
    <w:name w:val="footnote reference"/>
    <w:rPr>
      <w:vertAlign w:val="superscript"/>
    </w:rPr>
  </w:style>
  <w:style w:type="character" w:styleId="FontStyle18" w:customStyle="1">
    <w:name w:val="Font Style18"/>
    <w:qFormat/>
    <w:rsid w:val="00996966"/>
    <w:rPr>
      <w:rFonts w:ascii="Times New Roman" w:hAnsi="Times New Roman" w:cs="Times New Roman"/>
      <w:sz w:val="22"/>
      <w:szCs w:val="22"/>
    </w:rPr>
  </w:style>
  <w:style w:type="character" w:styleId="ListParagraphChar" w:customStyle="1">
    <w:name w:val="List Paragraph Char"/>
    <w:link w:val="Akapitzlist1"/>
    <w:qFormat/>
    <w:locked/>
    <w:rsid w:val="00976222"/>
    <w:rPr>
      <w:rFonts w:ascii="Times New Roman" w:hAnsi="Times New Roman" w:eastAsia="Times New Roman" w:cs="Times New Roman"/>
      <w:sz w:val="24"/>
      <w:szCs w:val="24"/>
      <w:lang w:eastAsia="pl-PL"/>
    </w:rPr>
  </w:style>
  <w:style w:type="character" w:styleId="UnresolvedMention">
    <w:name w:val="Unresolved Mention"/>
    <w:basedOn w:val="DefaultParagraphFont"/>
    <w:uiPriority w:val="99"/>
    <w:semiHidden/>
    <w:unhideWhenUsed/>
    <w:qFormat/>
    <w:rsid w:val="001672f8"/>
    <w:rPr>
      <w:color w:val="605E5C"/>
      <w:shd w:fill="E1DFDD" w:val="clear"/>
    </w:rPr>
  </w:style>
  <w:style w:type="character" w:styleId="Nagwek1Znak" w:customStyle="1">
    <w:name w:val="Nagłówek 1 Znak"/>
    <w:basedOn w:val="DefaultParagraphFont"/>
    <w:uiPriority w:val="9"/>
    <w:qFormat/>
    <w:rsid w:val="007c13b0"/>
    <w:rPr>
      <w:rFonts w:ascii="Times New Roman" w:hAnsi="Times New Roman" w:eastAsia="Times New Roman" w:cs="Times New Roman"/>
      <w:b/>
      <w:bCs/>
      <w:kern w:val="2"/>
      <w:sz w:val="48"/>
      <w:szCs w:val="48"/>
      <w:lang w:eastAsia="pl-PL"/>
    </w:rPr>
  </w:style>
  <w:style w:type="character" w:styleId="FontStyle28" w:customStyle="1">
    <w:name w:val="Font Style28"/>
    <w:qFormat/>
    <w:rsid w:val="008a63e1"/>
    <w:rPr>
      <w:rFonts w:ascii="Times New Roman" w:hAnsi="Times New Roman" w:cs="Times New Roman"/>
      <w:b/>
      <w:bCs/>
      <w:sz w:val="26"/>
      <w:szCs w:val="26"/>
    </w:rPr>
  </w:style>
  <w:style w:type="character" w:styleId="FontStyle104" w:customStyle="1">
    <w:name w:val="Font Style104"/>
    <w:basedOn w:val="DefaultParagraphFont"/>
    <w:uiPriority w:val="99"/>
    <w:qFormat/>
    <w:rsid w:val="00073b31"/>
    <w:rPr>
      <w:rFonts w:ascii="Cambria" w:hAnsi="Cambria" w:cs="Cambria"/>
      <w:sz w:val="18"/>
      <w:szCs w:val="18"/>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ea2e34"/>
    <w:pPr>
      <w:spacing w:lineRule="auto" w:line="240"/>
      <w:ind w:start="363"/>
    </w:pPr>
    <w:rPr>
      <w:rFonts w:ascii="Times New Roman" w:hAnsi="Times New Roman" w:eastAsia="Times New Roman" w:cs="Times New Roman"/>
      <w:sz w:val="24"/>
      <w:szCs w:val="24"/>
      <w:lang w:eastAsia="pl-PL"/>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link w:val="AkapitzlistZnak"/>
    <w:uiPriority w:val="34"/>
    <w:qFormat/>
    <w:rsid w:val="00c3181b"/>
    <w:pPr>
      <w:spacing w:before="0" w:after="120"/>
      <w:ind w:start="720"/>
      <w:contextualSpacing/>
    </w:pPr>
    <w:rPr/>
  </w:style>
  <w:style w:type="paragraph" w:styleId="BalloonText">
    <w:name w:val="Balloon Text"/>
    <w:basedOn w:val="Normal"/>
    <w:link w:val="TekstdymkaZnak"/>
    <w:uiPriority w:val="99"/>
    <w:semiHidden/>
    <w:unhideWhenUsed/>
    <w:qFormat/>
    <w:rsid w:val="001657e6"/>
    <w:pPr>
      <w:spacing w:lineRule="auto" w:line="240" w:before="0" w:after="0"/>
    </w:pPr>
    <w:rPr>
      <w:rFonts w:ascii="Segoe UI" w:hAnsi="Segoe UI" w:cs="Segoe UI"/>
      <w:sz w:val="18"/>
      <w:szCs w:val="18"/>
    </w:rPr>
  </w:style>
  <w:style w:type="paragraph" w:styleId="CommentText">
    <w:name w:val="annotation text"/>
    <w:basedOn w:val="Normal"/>
    <w:link w:val="TekstkomentarzaZnak"/>
    <w:uiPriority w:val="99"/>
    <w:unhideWhenUsed/>
    <w:rsid w:val="001657e6"/>
    <w:pPr>
      <w:spacing w:lineRule="auto" w:line="240"/>
    </w:pPr>
    <w:rPr>
      <w:sz w:val="20"/>
      <w:szCs w:val="20"/>
    </w:rPr>
  </w:style>
  <w:style w:type="paragraph" w:styleId="Gwkaistopka">
    <w:name w:val="Główka i stopka"/>
    <w:basedOn w:val="Normal"/>
    <w:qFormat/>
    <w:pPr/>
    <w:rPr/>
  </w:style>
  <w:style w:type="paragraph" w:styleId="Header">
    <w:name w:val="header"/>
    <w:basedOn w:val="Normal"/>
    <w:link w:val="NagwekZnak"/>
    <w:uiPriority w:val="99"/>
    <w:unhideWhenUsed/>
    <w:rsid w:val="001657e6"/>
    <w:pPr>
      <w:tabs>
        <w:tab w:val="clear" w:pos="709"/>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1657e6"/>
    <w:pPr>
      <w:tabs>
        <w:tab w:val="clear" w:pos="709"/>
        <w:tab w:val="center" w:pos="4536" w:leader="none"/>
        <w:tab w:val="right" w:pos="9072" w:leader="none"/>
      </w:tabs>
      <w:spacing w:lineRule="auto" w:line="240" w:before="0" w:after="0"/>
    </w:pPr>
    <w:rPr/>
  </w:style>
  <w:style w:type="paragraph" w:styleId="annotationsubject">
    <w:name w:val="annotation subject"/>
    <w:basedOn w:val="CommentText"/>
    <w:next w:val="CommentText"/>
    <w:link w:val="TematkomentarzaZnak"/>
    <w:uiPriority w:val="99"/>
    <w:semiHidden/>
    <w:unhideWhenUsed/>
    <w:qFormat/>
    <w:rsid w:val="001657e6"/>
    <w:pPr/>
    <w:rPr>
      <w:b/>
      <w:bCs/>
    </w:rPr>
  </w:style>
  <w:style w:type="paragraph" w:styleId="Revision">
    <w:name w:val="Revision"/>
    <w:uiPriority w:val="99"/>
    <w:semiHidden/>
    <w:qFormat/>
    <w:rsid w:val="007b1500"/>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EndnoteText">
    <w:name w:val="endnote text"/>
    <w:basedOn w:val="Normal"/>
    <w:link w:val="TekstprzypisukocowegoZnak"/>
    <w:uiPriority w:val="99"/>
    <w:semiHidden/>
    <w:unhideWhenUsed/>
    <w:rsid w:val="008d4f41"/>
    <w:pPr>
      <w:spacing w:lineRule="auto" w:line="240" w:before="0" w:after="0"/>
    </w:pPr>
    <w:rPr>
      <w:sz w:val="20"/>
      <w:szCs w:val="20"/>
    </w:rPr>
  </w:style>
  <w:style w:type="paragraph" w:styleId="Style31" w:customStyle="1">
    <w:name w:val="Style3"/>
    <w:basedOn w:val="Normal"/>
    <w:uiPriority w:val="99"/>
    <w:qFormat/>
    <w:rsid w:val="000164fb"/>
    <w:pPr>
      <w:widowControl w:val="false"/>
      <w:spacing w:lineRule="exact" w:line="293" w:before="0" w:after="0"/>
    </w:pPr>
    <w:rPr>
      <w:rFonts w:ascii="Calibri" w:hAnsi="Calibri" w:eastAsia="" w:eastAsiaTheme="minorEastAsia"/>
      <w:sz w:val="24"/>
      <w:szCs w:val="24"/>
      <w:lang w:eastAsia="pl-PL"/>
    </w:rPr>
  </w:style>
  <w:style w:type="paragraph" w:styleId="FootnoteText">
    <w:name w:val="footnote text"/>
    <w:basedOn w:val="Normal"/>
    <w:link w:val="TekstprzypisudolnegoZnak"/>
    <w:uiPriority w:val="99"/>
    <w:unhideWhenUsed/>
    <w:rsid w:val="00302eff"/>
    <w:pPr>
      <w:spacing w:lineRule="auto" w:line="240" w:before="0" w:after="0"/>
    </w:pPr>
    <w:rPr>
      <w:sz w:val="20"/>
      <w:szCs w:val="20"/>
    </w:rPr>
  </w:style>
  <w:style w:type="paragraph" w:styleId="Punkt" w:customStyle="1">
    <w:name w:val="Punkt"/>
    <w:basedOn w:val="BodyText"/>
    <w:qFormat/>
    <w:rsid w:val="008a288d"/>
    <w:pPr>
      <w:suppressAutoHyphens w:val="true"/>
      <w:spacing w:before="0" w:after="160"/>
      <w:ind w:start="0"/>
      <w:jc w:val="both"/>
      <w:textAlignment w:val="baseline"/>
    </w:pPr>
    <w:rPr>
      <w:rFonts w:ascii="Tahoma" w:hAnsi="Tahoma"/>
      <w:sz w:val="20"/>
    </w:rPr>
  </w:style>
  <w:style w:type="paragraph" w:styleId="Akapitzlist1" w:customStyle="1">
    <w:name w:val="Akapit z listą1"/>
    <w:basedOn w:val="Normal"/>
    <w:link w:val="ListParagraphChar"/>
    <w:qFormat/>
    <w:rsid w:val="00976222"/>
    <w:pPr>
      <w:spacing w:lineRule="auto" w:line="240" w:before="0" w:after="0"/>
      <w:ind w:start="708"/>
    </w:pPr>
    <w:rPr>
      <w:rFonts w:ascii="Times New Roman" w:hAnsi="Times New Roman" w:eastAsia="Times New Roman" w:cs="Times New Roman"/>
      <w:sz w:val="24"/>
      <w:szCs w:val="24"/>
      <w:lang w:eastAsia="pl-PL"/>
    </w:rPr>
  </w:style>
  <w:style w:type="paragraph" w:styleId="OPZLista1" w:customStyle="1">
    <w:name w:val="OPZ_Lista.1"/>
    <w:basedOn w:val="Normal"/>
    <w:qFormat/>
    <w:rsid w:val="009f6b8d"/>
    <w:pPr>
      <w:numPr>
        <w:ilvl w:val="0"/>
        <w:numId w:val="1"/>
      </w:numPr>
      <w:spacing w:before="160" w:after="160"/>
      <w:jc w:val="both"/>
    </w:pPr>
    <w:rPr>
      <w:rFonts w:ascii="Calibri" w:hAnsi="Calibri" w:eastAsia="Times New Roman" w:cs="Times New Roman"/>
      <w:sz w:val="24"/>
      <w:szCs w:val="24"/>
      <w:lang w:val="en-US" w:eastAsia="pl-PL"/>
    </w:rPr>
  </w:style>
  <w:style w:type="paragraph" w:styleId="OPZLista2" w:customStyle="1">
    <w:name w:val="OPZ_Lista.2"/>
    <w:basedOn w:val="Normal"/>
    <w:qFormat/>
    <w:rsid w:val="005e7696"/>
    <w:pPr>
      <w:numPr>
        <w:ilvl w:val="1"/>
        <w:numId w:val="1"/>
      </w:numPr>
      <w:spacing w:before="160" w:after="160"/>
      <w:jc w:val="both"/>
    </w:pPr>
    <w:rPr>
      <w:rFonts w:ascii="Calibri" w:hAnsi="Calibri" w:eastAsia="Times New Roman" w:cs="Times New Roman"/>
      <w:sz w:val="24"/>
      <w:szCs w:val="24"/>
      <w:lang w:eastAsia="pl-PL"/>
    </w:rPr>
  </w:style>
  <w:style w:type="paragraph" w:styleId="OPZLista3" w:customStyle="1">
    <w:name w:val="OPZ_Lista.3"/>
    <w:basedOn w:val="Normal"/>
    <w:qFormat/>
    <w:rsid w:val="005e7696"/>
    <w:pPr>
      <w:numPr>
        <w:ilvl w:val="2"/>
        <w:numId w:val="1"/>
      </w:numPr>
      <w:spacing w:before="160" w:after="160"/>
      <w:jc w:val="both"/>
    </w:pPr>
    <w:rPr>
      <w:rFonts w:ascii="Calibri" w:hAnsi="Calibri" w:eastAsia="Times New Roman" w:cs="Times New Roman"/>
      <w:sz w:val="24"/>
      <w:szCs w:val="24"/>
      <w:lang w:eastAsia="pl-PL"/>
    </w:rPr>
  </w:style>
  <w:style w:type="paragraph" w:styleId="OPZLista4" w:customStyle="1">
    <w:name w:val="OPZ_Lista.4"/>
    <w:basedOn w:val="Normal"/>
    <w:qFormat/>
    <w:rsid w:val="005e7696"/>
    <w:pPr>
      <w:numPr>
        <w:ilvl w:val="3"/>
        <w:numId w:val="1"/>
      </w:numPr>
      <w:spacing w:before="160" w:after="160"/>
      <w:jc w:val="both"/>
    </w:pPr>
    <w:rPr>
      <w:rFonts w:ascii="Calibri" w:hAnsi="Calibri" w:eastAsia="Times New Roman" w:cs="Times New Roman"/>
      <w:sz w:val="24"/>
      <w:szCs w:val="24"/>
      <w:lang w:eastAsia="pl-PL"/>
    </w:rPr>
  </w:style>
  <w:style w:type="paragraph" w:styleId="OPZLista5" w:customStyle="1">
    <w:name w:val="OPZ_Lista.5"/>
    <w:basedOn w:val="Normal"/>
    <w:qFormat/>
    <w:rsid w:val="005e7696"/>
    <w:pPr>
      <w:numPr>
        <w:ilvl w:val="4"/>
        <w:numId w:val="1"/>
      </w:numPr>
      <w:spacing w:before="160" w:after="160"/>
      <w:jc w:val="both"/>
    </w:pPr>
    <w:rPr>
      <w:rFonts w:ascii="Calibri" w:hAnsi="Calibri" w:eastAsia="Times New Roman" w:cs="Times New Roman"/>
      <w:sz w:val="24"/>
      <w:szCs w:val="24"/>
      <w:lang w:eastAsia="pl-PL"/>
    </w:rPr>
  </w:style>
  <w:style w:type="paragraph" w:styleId="OPZLista6" w:customStyle="1">
    <w:name w:val="OPZ_Lista.6"/>
    <w:basedOn w:val="Normal"/>
    <w:qFormat/>
    <w:rsid w:val="005e7696"/>
    <w:pPr>
      <w:numPr>
        <w:ilvl w:val="5"/>
        <w:numId w:val="1"/>
      </w:numPr>
      <w:spacing w:before="160" w:after="160"/>
      <w:jc w:val="both"/>
    </w:pPr>
    <w:rPr>
      <w:rFonts w:ascii="Calibri" w:hAnsi="Calibri" w:eastAsia="Times New Roman" w:cs="Times New Roman"/>
      <w:sz w:val="24"/>
      <w:szCs w:val="24"/>
      <w:lang w:eastAsia="pl-PL"/>
    </w:rPr>
  </w:style>
  <w:style w:type="paragraph" w:styleId="OPZLista7" w:customStyle="1">
    <w:name w:val="OPZ_Lista.7"/>
    <w:basedOn w:val="Normal"/>
    <w:qFormat/>
    <w:rsid w:val="005e7696"/>
    <w:pPr>
      <w:numPr>
        <w:ilvl w:val="6"/>
        <w:numId w:val="1"/>
      </w:numPr>
      <w:spacing w:before="160" w:after="160"/>
      <w:jc w:val="both"/>
    </w:pPr>
    <w:rPr>
      <w:rFonts w:ascii="Calibri" w:hAnsi="Calibri" w:eastAsia="Times New Roman" w:cs="Times New Roman"/>
      <w:sz w:val="24"/>
      <w:szCs w:val="24"/>
      <w:lang w:eastAsia="pl-PL"/>
    </w:rPr>
  </w:style>
  <w:style w:type="paragraph" w:styleId="OPZLista8" w:customStyle="1">
    <w:name w:val="OPZ_Lista.8"/>
    <w:basedOn w:val="Normal"/>
    <w:qFormat/>
    <w:rsid w:val="005e7696"/>
    <w:pPr>
      <w:numPr>
        <w:ilvl w:val="7"/>
        <w:numId w:val="1"/>
      </w:numPr>
      <w:spacing w:before="160" w:after="160"/>
      <w:jc w:val="both"/>
    </w:pPr>
    <w:rPr>
      <w:rFonts w:ascii="Calibri" w:hAnsi="Calibri" w:eastAsia="Times New Roman" w:cs="Times New Roman"/>
      <w:sz w:val="24"/>
      <w:szCs w:val="24"/>
      <w:lang w:eastAsia="pl-PL"/>
    </w:rPr>
  </w:style>
  <w:style w:type="paragraph" w:styleId="OPZLista9" w:customStyle="1">
    <w:name w:val="OPZ_Lista.9"/>
    <w:basedOn w:val="Normal"/>
    <w:qFormat/>
    <w:rsid w:val="005e7696"/>
    <w:pPr>
      <w:numPr>
        <w:ilvl w:val="8"/>
        <w:numId w:val="1"/>
      </w:numPr>
      <w:spacing w:before="160" w:after="160"/>
      <w:jc w:val="both"/>
    </w:pPr>
    <w:rPr>
      <w:rFonts w:ascii="Calibri" w:hAnsi="Calibri" w:eastAsia="Times New Roman" w:cs="Times New Roman"/>
      <w:sz w:val="24"/>
      <w:szCs w:val="24"/>
      <w:lang w:eastAsia="pl-PL"/>
    </w:rPr>
  </w:style>
  <w:style w:type="paragraph" w:styleId="Default" w:customStyle="1">
    <w:name w:val="Default"/>
    <w:qFormat/>
    <w:rsid w:val="00d321a6"/>
    <w:pPr>
      <w:widowControl/>
      <w:bidi w:val="0"/>
      <w:spacing w:lineRule="auto" w:line="240" w:before="0" w:after="0"/>
      <w:jc w:val="start"/>
    </w:pPr>
    <w:rPr>
      <w:rFonts w:ascii="Arial" w:hAnsi="Arial" w:eastAsia="Calibri" w:cs="Arial"/>
      <w:color w:val="000000"/>
      <w:kern w:val="0"/>
      <w:sz w:val="24"/>
      <w:szCs w:val="24"/>
      <w:lang w:val="pl-PL" w:eastAsia="en-US" w:bidi="ar-SA"/>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15115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503bc6"/>
    <w:pPr>
      <w:spacing w:after="0" w:line="240" w:lineRule="auto"/>
    </w:pPr>
    <w:rPr>
      <w:rFonts w:eastAsiaTheme="minorEastAsia"/>
      <w:sz w:val="24"/>
      <w:szCs w:val="24"/>
      <w:lang w:eastAsia="pl-PL"/>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2CBA-B180-42FD-9DEC-F3748FB2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LibreOffice/26.2.4.2$Windows_X86_64 LibreOffice_project/0229ac93fcf0d7cbc6376066c6f35021cef002dc</Application>
  <AppVersion>15.0000</AppVersion>
  <Pages>7</Pages>
  <Words>2192</Words>
  <Characters>14423</Characters>
  <CharactersWithSpaces>16381</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2025-09-12T08:39:00Z</dcterms:created>
  <dc:creator/>
  <dc:description/>
  <dc:language>pl-PL</dc:language>
  <cp:lastModifiedBy/>
  <dcterms:modified xsi:type="dcterms:W3CDTF">2026-07-13T12:52:53Z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